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638"/>
      </w:tblGrid>
      <w:tr w:rsidR="00A53994" w:rsidRPr="00A53994" w:rsidTr="00A53994">
        <w:trPr>
          <w:tblCellSpacing w:w="0" w:type="dxa"/>
        </w:trPr>
        <w:tc>
          <w:tcPr>
            <w:tcW w:w="0" w:type="auto"/>
            <w:vAlign w:val="center"/>
            <w:hideMark/>
          </w:tcPr>
          <w:p w:rsidR="00A53994" w:rsidRPr="00A53994" w:rsidRDefault="002F57A7" w:rsidP="00A53994">
            <w:pPr>
              <w:spacing w:after="0" w:line="240" w:lineRule="auto"/>
              <w:rPr>
                <w:rFonts w:ascii="Arial" w:eastAsia="Times New Roman" w:hAnsi="Arial" w:cs="Arial"/>
                <w:sz w:val="32"/>
                <w:szCs w:val="20"/>
                <w:lang w:eastAsia="tr-TR"/>
              </w:rPr>
            </w:pPr>
            <w:r w:rsidRPr="002F57A7">
              <w:rPr>
                <w:rFonts w:ascii="Arial" w:eastAsia="Times New Roman" w:hAnsi="Arial" w:cs="Arial"/>
                <w:b/>
                <w:bCs/>
                <w:sz w:val="32"/>
                <w:szCs w:val="27"/>
                <w:lang w:eastAsia="tr-TR"/>
              </w:rPr>
              <w:t>G</w:t>
            </w:r>
            <w:r w:rsidR="00A53994" w:rsidRPr="00A53994">
              <w:rPr>
                <w:rFonts w:ascii="Arial" w:eastAsia="Times New Roman" w:hAnsi="Arial" w:cs="Arial"/>
                <w:b/>
                <w:bCs/>
                <w:sz w:val="32"/>
                <w:szCs w:val="27"/>
                <w:lang w:eastAsia="tr-TR"/>
              </w:rPr>
              <w:t xml:space="preserve">ÜNCEL RESMİ RAPORLARA GÖRE </w:t>
            </w:r>
            <w:bookmarkStart w:id="0" w:name="_GoBack"/>
            <w:r w:rsidR="00A53994" w:rsidRPr="00A53994">
              <w:rPr>
                <w:rFonts w:ascii="Arial" w:eastAsia="Times New Roman" w:hAnsi="Arial" w:cs="Arial"/>
                <w:b/>
                <w:bCs/>
                <w:sz w:val="32"/>
                <w:szCs w:val="27"/>
                <w:lang w:eastAsia="tr-TR"/>
              </w:rPr>
              <w:t xml:space="preserve">BELEDİYELERİMİZİN </w:t>
            </w:r>
            <w:r w:rsidR="00A53994" w:rsidRPr="002F57A7">
              <w:rPr>
                <w:rFonts w:ascii="Arial" w:eastAsia="Times New Roman" w:hAnsi="Arial" w:cs="Arial"/>
                <w:b/>
                <w:bCs/>
                <w:sz w:val="32"/>
                <w:szCs w:val="27"/>
                <w:lang w:eastAsia="tr-TR"/>
              </w:rPr>
              <w:br/>
            </w:r>
            <w:r w:rsidR="00A53994" w:rsidRPr="00A53994">
              <w:rPr>
                <w:rFonts w:ascii="Arial" w:eastAsia="Times New Roman" w:hAnsi="Arial" w:cs="Arial"/>
                <w:b/>
                <w:bCs/>
                <w:sz w:val="32"/>
                <w:szCs w:val="27"/>
                <w:lang w:eastAsia="tr-TR"/>
              </w:rPr>
              <w:t>2017 YILI FAALİYETLERİNİN DEĞERLENDİRİLMESİ</w:t>
            </w:r>
            <w:bookmarkEnd w:id="0"/>
          </w:p>
        </w:tc>
      </w:tr>
    </w:tbl>
    <w:p w:rsidR="00A53994" w:rsidRPr="00A53994" w:rsidRDefault="00A53994" w:rsidP="00A53994">
      <w:pPr>
        <w:spacing w:after="0" w:line="240" w:lineRule="auto"/>
        <w:rPr>
          <w:rFonts w:ascii="Arial" w:eastAsia="Times New Roman" w:hAnsi="Arial" w:cs="Arial"/>
          <w:color w:val="000000"/>
          <w:sz w:val="20"/>
          <w:szCs w:val="20"/>
          <w:lang w:eastAsia="tr-TR"/>
        </w:rPr>
      </w:pPr>
      <w:r w:rsidRPr="00A53994">
        <w:rPr>
          <w:rFonts w:ascii="Arial" w:eastAsia="Times New Roman" w:hAnsi="Arial" w:cs="Arial"/>
          <w:color w:val="000000"/>
          <w:sz w:val="20"/>
          <w:szCs w:val="20"/>
          <w:lang w:eastAsia="tr-TR"/>
        </w:rPr>
        <w:pict>
          <v:rect id="_x0000_i102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00"/>
        <w:gridCol w:w="4438"/>
      </w:tblGrid>
      <w:tr w:rsidR="002F57A7" w:rsidRPr="00A53994" w:rsidTr="002F57A7">
        <w:trPr>
          <w:tblCellSpacing w:w="0" w:type="dxa"/>
        </w:trPr>
        <w:tc>
          <w:tcPr>
            <w:tcW w:w="0" w:type="auto"/>
            <w:vAlign w:val="center"/>
          </w:tcPr>
          <w:p w:rsidR="00A53994" w:rsidRPr="00A53994" w:rsidRDefault="00A53994" w:rsidP="00A53994">
            <w:pPr>
              <w:spacing w:after="0" w:line="240" w:lineRule="auto"/>
              <w:rPr>
                <w:rFonts w:ascii="Arial" w:eastAsia="Times New Roman" w:hAnsi="Arial" w:cs="Arial"/>
                <w:sz w:val="20"/>
                <w:szCs w:val="20"/>
                <w:lang w:eastAsia="tr-TR"/>
              </w:rPr>
            </w:pPr>
          </w:p>
        </w:tc>
        <w:tc>
          <w:tcPr>
            <w:tcW w:w="0" w:type="auto"/>
            <w:vAlign w:val="center"/>
            <w:hideMark/>
          </w:tcPr>
          <w:p w:rsidR="00A53994" w:rsidRPr="00A53994" w:rsidRDefault="00A53994" w:rsidP="00A53994">
            <w:pPr>
              <w:spacing w:after="0" w:line="240" w:lineRule="auto"/>
              <w:rPr>
                <w:rFonts w:ascii="Arial" w:eastAsia="Times New Roman" w:hAnsi="Arial" w:cs="Arial"/>
                <w:sz w:val="20"/>
                <w:szCs w:val="20"/>
                <w:lang w:eastAsia="tr-TR"/>
              </w:rPr>
            </w:pPr>
          </w:p>
        </w:tc>
      </w:tr>
      <w:tr w:rsidR="00A53994" w:rsidRPr="00A53994" w:rsidTr="00A53994">
        <w:trPr>
          <w:tblCellSpacing w:w="0" w:type="dxa"/>
        </w:trPr>
        <w:tc>
          <w:tcPr>
            <w:tcW w:w="0" w:type="auto"/>
            <w:gridSpan w:val="2"/>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9638"/>
            </w:tblGrid>
            <w:tr w:rsidR="00A53994" w:rsidRPr="00A53994">
              <w:trPr>
                <w:tblCellSpacing w:w="0" w:type="dxa"/>
              </w:trPr>
              <w:tc>
                <w:tcPr>
                  <w:tcW w:w="0" w:type="auto"/>
                  <w:vAlign w:val="center"/>
                  <w:hideMark/>
                </w:tcPr>
                <w:p w:rsidR="00A53994" w:rsidRDefault="00A53994" w:rsidP="00A53994">
                  <w:pPr>
                    <w:spacing w:after="0" w:line="240" w:lineRule="auto"/>
                    <w:rPr>
                      <w:rFonts w:ascii="Arial" w:eastAsia="Times New Roman" w:hAnsi="Arial" w:cs="Arial"/>
                      <w:b/>
                      <w:bCs/>
                      <w:sz w:val="24"/>
                      <w:szCs w:val="24"/>
                      <w:lang w:eastAsia="tr-TR"/>
                    </w:rPr>
                  </w:pPr>
                  <w:r w:rsidRPr="00A53994">
                    <w:rPr>
                      <w:rFonts w:ascii="Times New Roman" w:eastAsia="Times New Roman" w:hAnsi="Times New Roman" w:cs="Times New Roman"/>
                      <w:b/>
                      <w:bCs/>
                      <w:sz w:val="28"/>
                      <w:szCs w:val="28"/>
                      <w:lang w:eastAsia="tr-TR"/>
                    </w:rPr>
                    <w:t xml:space="preserve">GÜNCEL RESMİ RAPORLARA GÖRE BELEDİYELERİMİZİN </w:t>
                  </w:r>
                  <w:r w:rsidR="002F57A7">
                    <w:rPr>
                      <w:rFonts w:ascii="Times New Roman" w:eastAsia="Times New Roman" w:hAnsi="Times New Roman" w:cs="Times New Roman"/>
                      <w:b/>
                      <w:bCs/>
                      <w:sz w:val="28"/>
                      <w:szCs w:val="28"/>
                      <w:lang w:eastAsia="tr-TR"/>
                    </w:rPr>
                    <w:br/>
                  </w:r>
                  <w:r w:rsidRPr="00A53994">
                    <w:rPr>
                      <w:rFonts w:ascii="Times New Roman" w:eastAsia="Times New Roman" w:hAnsi="Times New Roman" w:cs="Times New Roman"/>
                      <w:b/>
                      <w:bCs/>
                      <w:sz w:val="28"/>
                      <w:szCs w:val="28"/>
                      <w:lang w:eastAsia="tr-TR"/>
                    </w:rPr>
                    <w:t>2017 YILI FAALİYETLERİNİN</w:t>
                  </w:r>
                  <w:r w:rsidR="002F57A7">
                    <w:rPr>
                      <w:rFonts w:ascii="Times New Roman" w:eastAsia="Times New Roman" w:hAnsi="Times New Roman" w:cs="Times New Roman"/>
                      <w:b/>
                      <w:bCs/>
                      <w:sz w:val="28"/>
                      <w:szCs w:val="28"/>
                      <w:lang w:eastAsia="tr-TR"/>
                    </w:rPr>
                    <w:t xml:space="preserve"> D</w:t>
                  </w:r>
                  <w:r w:rsidRPr="00A53994">
                    <w:rPr>
                      <w:rFonts w:ascii="Times New Roman" w:eastAsia="Times New Roman" w:hAnsi="Times New Roman" w:cs="Times New Roman"/>
                      <w:b/>
                      <w:bCs/>
                      <w:sz w:val="28"/>
                      <w:szCs w:val="28"/>
                      <w:lang w:eastAsia="tr-TR"/>
                    </w:rPr>
                    <w:t>EĞERLENDİRİLMESİ</w:t>
                  </w:r>
                  <w:r w:rsidRPr="00A53994">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sz w:val="24"/>
                      <w:szCs w:val="24"/>
                      <w:lang w:eastAsia="tr-TR"/>
                    </w:rPr>
                    <w:br/>
                  </w:r>
                  <w:r w:rsidRPr="00A53994">
                    <w:rPr>
                      <w:rFonts w:ascii="Arial" w:eastAsia="Times New Roman" w:hAnsi="Arial" w:cs="Arial"/>
                      <w:b/>
                      <w:bCs/>
                      <w:sz w:val="24"/>
                      <w:szCs w:val="24"/>
                      <w:lang w:eastAsia="tr-TR"/>
                    </w:rPr>
                    <w:t>Mahmut ESEN</w:t>
                  </w:r>
                </w:p>
                <w:p w:rsidR="00A53994" w:rsidRDefault="00A53994" w:rsidP="00A53994">
                  <w:pPr>
                    <w:spacing w:after="0" w:line="240" w:lineRule="auto"/>
                    <w:rPr>
                      <w:rFonts w:ascii="Times New Roman" w:eastAsia="Times New Roman" w:hAnsi="Times New Roman" w:cs="Times New Roman"/>
                      <w:b/>
                      <w:bCs/>
                      <w:sz w:val="24"/>
                      <w:szCs w:val="24"/>
                      <w:lang w:eastAsia="tr-TR"/>
                    </w:rPr>
                  </w:pPr>
                  <w:r w:rsidRPr="00A53994">
                    <w:rPr>
                      <w:rFonts w:ascii="Arial" w:eastAsia="Times New Roman" w:hAnsi="Arial" w:cs="Arial"/>
                      <w:b/>
                      <w:bCs/>
                      <w:sz w:val="24"/>
                      <w:szCs w:val="24"/>
                      <w:lang w:eastAsia="tr-TR"/>
                    </w:rPr>
                    <w:t>E. Mülkiye Başmüfettişi</w:t>
                  </w:r>
                  <w:r w:rsidR="002F57A7">
                    <w:rPr>
                      <w:rFonts w:ascii="Arial" w:eastAsia="Times New Roman" w:hAnsi="Arial" w:cs="Arial"/>
                      <w:b/>
                      <w:bCs/>
                      <w:sz w:val="24"/>
                      <w:szCs w:val="24"/>
                      <w:lang w:eastAsia="tr-TR"/>
                    </w:rPr>
                    <w:br/>
                  </w:r>
                  <w:hyperlink r:id="rId6" w:history="1">
                    <w:r w:rsidR="002F57A7" w:rsidRPr="00A53994">
                      <w:rPr>
                        <w:rStyle w:val="Kpr"/>
                        <w:rFonts w:ascii="Arial" w:eastAsia="Times New Roman" w:hAnsi="Arial" w:cs="Arial"/>
                        <w:sz w:val="20"/>
                        <w:szCs w:val="20"/>
                        <w:lang w:eastAsia="tr-TR"/>
                      </w:rPr>
                      <w:t>mahmutesen@gmail.com</w:t>
                    </w:r>
                  </w:hyperlink>
                  <w:r w:rsidR="002F57A7">
                    <w:rPr>
                      <w:rFonts w:ascii="Arial" w:eastAsia="Times New Roman" w:hAnsi="Arial" w:cs="Arial"/>
                      <w:sz w:val="20"/>
                      <w:szCs w:val="20"/>
                      <w:lang w:eastAsia="tr-TR"/>
                    </w:rPr>
                    <w:t xml:space="preserve"> </w:t>
                  </w:r>
                  <w:r w:rsidRPr="00A53994">
                    <w:rPr>
                      <w:rFonts w:ascii="Times New Roman" w:eastAsia="Times New Roman" w:hAnsi="Times New Roman" w:cs="Times New Roman"/>
                      <w:b/>
                      <w:bCs/>
                      <w:sz w:val="24"/>
                      <w:szCs w:val="24"/>
                      <w:lang w:eastAsia="tr-TR"/>
                    </w:rPr>
                    <w:t> </w:t>
                  </w:r>
                  <w:r w:rsidR="002F57A7">
                    <w:rPr>
                      <w:rFonts w:ascii="Times New Roman" w:eastAsia="Times New Roman" w:hAnsi="Times New Roman" w:cs="Times New Roman"/>
                      <w:b/>
                      <w:bCs/>
                      <w:sz w:val="24"/>
                      <w:szCs w:val="24"/>
                      <w:lang w:eastAsia="tr-TR"/>
                    </w:rPr>
                    <w:t>24.11.2018</w:t>
                  </w:r>
                </w:p>
                <w:p w:rsidR="004E33CB" w:rsidRDefault="004E33CB" w:rsidP="00A53994">
                  <w:pPr>
                    <w:spacing w:after="0" w:line="240" w:lineRule="auto"/>
                    <w:rPr>
                      <w:rFonts w:ascii="Times New Roman" w:eastAsia="Times New Roman" w:hAnsi="Times New Roman" w:cs="Times New Roman"/>
                      <w:b/>
                      <w:bCs/>
                      <w:sz w:val="24"/>
                      <w:szCs w:val="24"/>
                      <w:lang w:eastAsia="tr-TR"/>
                    </w:rPr>
                  </w:pPr>
                </w:p>
                <w:p w:rsidR="00A53994" w:rsidRPr="00A53994" w:rsidRDefault="00A53994" w:rsidP="00A53994">
                  <w:pPr>
                    <w:spacing w:after="0" w:line="240" w:lineRule="auto"/>
                    <w:rPr>
                      <w:rFonts w:ascii="Arial" w:eastAsia="Times New Roman" w:hAnsi="Arial" w:cs="Arial"/>
                      <w:sz w:val="20"/>
                      <w:szCs w:val="20"/>
                      <w:lang w:eastAsia="tr-TR"/>
                    </w:rPr>
                  </w:pPr>
                </w:p>
                <w:p w:rsidR="00A53994" w:rsidRPr="00A53994" w:rsidRDefault="00A53994" w:rsidP="00A53994">
                  <w:pPr>
                    <w:spacing w:after="0" w:line="293" w:lineRule="atLeast"/>
                    <w:jc w:val="both"/>
                    <w:rPr>
                      <w:rFonts w:ascii="Calibri" w:eastAsia="Times New Roman" w:hAnsi="Calibri" w:cs="Arial"/>
                      <w:sz w:val="20"/>
                      <w:szCs w:val="20"/>
                      <w:lang w:eastAsia="tr-TR"/>
                    </w:rPr>
                  </w:pPr>
                  <w:r w:rsidRPr="00A53994">
                    <w:rPr>
                      <w:rFonts w:ascii="Times New Roman" w:eastAsia="Times New Roman" w:hAnsi="Times New Roman" w:cs="Times New Roman"/>
                      <w:b/>
                      <w:bCs/>
                      <w:sz w:val="24"/>
                      <w:szCs w:val="24"/>
                      <w:lang w:eastAsia="tr-TR"/>
                    </w:rPr>
                    <w:t>            </w:t>
                  </w:r>
                  <w:r w:rsidRPr="00A53994">
                    <w:rPr>
                      <w:rFonts w:ascii="Times New Roman" w:eastAsia="Times New Roman" w:hAnsi="Times New Roman" w:cs="Times New Roman"/>
                      <w:b/>
                      <w:bCs/>
                      <w:i/>
                      <w:iCs/>
                      <w:lang w:eastAsia="tr-TR"/>
                    </w:rPr>
                    <w:t>Özet</w:t>
                  </w:r>
                  <w:r w:rsidRPr="00A53994">
                    <w:rPr>
                      <w:rFonts w:ascii="Times New Roman" w:eastAsia="Times New Roman" w:hAnsi="Times New Roman" w:cs="Times New Roman"/>
                      <w:lang w:eastAsia="tr-TR"/>
                    </w:rPr>
                    <w:t>: </w:t>
                  </w:r>
                  <w:r w:rsidRPr="00A53994">
                    <w:rPr>
                      <w:rFonts w:ascii="Times New Roman" w:eastAsia="Times New Roman" w:hAnsi="Times New Roman" w:cs="Times New Roman"/>
                      <w:i/>
                      <w:iCs/>
                      <w:lang w:eastAsia="tr-TR"/>
                    </w:rPr>
                    <w:t>İçişleri Bakanlığınca hazırlanmış “2017 Yılı Mahalli İdareler Genel Faaliyet Raporu” başta olmak üzere; “2017 Yılı Maliye Bakanlığı Genel Yönetim Faaliyet Raporu”, Sayıştay ‘</w:t>
                  </w:r>
                  <w:proofErr w:type="spellStart"/>
                  <w:r w:rsidRPr="00A53994">
                    <w:rPr>
                      <w:rFonts w:ascii="Times New Roman" w:eastAsia="Times New Roman" w:hAnsi="Times New Roman" w:cs="Times New Roman"/>
                      <w:i/>
                      <w:iCs/>
                      <w:lang w:eastAsia="tr-TR"/>
                    </w:rPr>
                    <w:t>ın</w:t>
                  </w:r>
                  <w:proofErr w:type="spellEnd"/>
                  <w:r w:rsidRPr="00A53994">
                    <w:rPr>
                      <w:rFonts w:ascii="Times New Roman" w:eastAsia="Times New Roman" w:hAnsi="Times New Roman" w:cs="Times New Roman"/>
                      <w:i/>
                      <w:iCs/>
                      <w:lang w:eastAsia="tr-TR"/>
                    </w:rPr>
                    <w:t xml:space="preserve"> 2018 Yılı Eylül ayında TBMM’ye sunduğu  “2017 Yılı Faaliyet Genel Değerlendirme Raporu” ve “2017 Yılı Dış Denetim Genel Değerlendirme Raporu” ile “2017 Yılı Mali İstatistikleri Değerlendirme Raporu” vb. raporlara dayanılarak; belediyelerimizin 2017 yılı itibarıyla genel faaliyetleri, bütçe gerçekleşmeleri, mali vb. durumları incelenmekte, raporlarda sözü edilen hata/noksanlık/yolsuzluk örneklerine yer verilmekte, Sayıştay bulgularının yasal gereklerinin yapılmaması sonucu yıllık olarak düzenlenen Sayıştay raporlarının bilinenleri yinelemekten öteye geçemediğine ve yolsuzluk alanlarının kanıksanmasına katkı sağlayacağına dikkat çekilmekte,  sorunlara ilişkin çözüm önerilerimiz sunulmaktadır.</w:t>
                  </w:r>
                </w:p>
                <w:p w:rsidR="00A53994" w:rsidRDefault="00A53994" w:rsidP="00A53994">
                  <w:pPr>
                    <w:spacing w:after="0" w:line="253" w:lineRule="atLeast"/>
                    <w:ind w:firstLine="851"/>
                    <w:jc w:val="both"/>
                    <w:rPr>
                      <w:rFonts w:ascii="Times New Roman" w:eastAsia="Times New Roman" w:hAnsi="Times New Roman" w:cs="Times New Roman"/>
                      <w:i/>
                      <w:iCs/>
                      <w:lang w:eastAsia="tr-TR"/>
                    </w:rPr>
                  </w:pPr>
                  <w:r w:rsidRPr="00A53994">
                    <w:rPr>
                      <w:rFonts w:ascii="Times New Roman" w:eastAsia="Times New Roman" w:hAnsi="Times New Roman" w:cs="Times New Roman"/>
                      <w:b/>
                      <w:bCs/>
                      <w:i/>
                      <w:iCs/>
                      <w:lang w:eastAsia="tr-TR"/>
                    </w:rPr>
                    <w:t>Anahtar Sözcükler:</w:t>
                  </w:r>
                  <w:r w:rsidRPr="00A53994">
                    <w:rPr>
                      <w:rFonts w:ascii="Times New Roman" w:eastAsia="Times New Roman" w:hAnsi="Times New Roman" w:cs="Times New Roman"/>
                      <w:i/>
                      <w:iCs/>
                      <w:lang w:eastAsia="tr-TR"/>
                    </w:rPr>
                    <w:t> Belediye, Sayıştay, İçişleri Bakanlığı, Genel faaliyet raporu, Denetim, Yolsuzluk.</w:t>
                  </w:r>
                </w:p>
                <w:p w:rsidR="00A53994" w:rsidRPr="00A53994" w:rsidRDefault="00A53994"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330" w:lineRule="atLeast"/>
                    <w:ind w:firstLine="851"/>
                    <w:jc w:val="both"/>
                    <w:rPr>
                      <w:rFonts w:ascii="Times New Roman" w:eastAsia="Times New Roman" w:hAnsi="Times New Roman" w:cs="Times New Roman"/>
                      <w:b/>
                      <w:bCs/>
                      <w:sz w:val="24"/>
                      <w:szCs w:val="24"/>
                      <w:lang w:eastAsia="tr-TR"/>
                    </w:rPr>
                  </w:pPr>
                  <w:r w:rsidRPr="00A53994">
                    <w:rPr>
                      <w:rFonts w:ascii="Times New Roman" w:eastAsia="Times New Roman" w:hAnsi="Times New Roman" w:cs="Times New Roman"/>
                      <w:b/>
                      <w:bCs/>
                      <w:sz w:val="24"/>
                      <w:szCs w:val="24"/>
                      <w:lang w:eastAsia="tr-TR"/>
                    </w:rPr>
                    <w:t>I-GİRİŞ</w:t>
                  </w:r>
                </w:p>
                <w:p w:rsidR="00A53994" w:rsidRPr="00A53994" w:rsidRDefault="00A53994" w:rsidP="00A53994">
                  <w:pPr>
                    <w:spacing w:after="0" w:line="330"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5018 sayılı Kamu Mali Yönetimi ve Kontrol Kanununun 41. maddesi uyarınca; kamu idarelerinin üst yöneticileri ve harcama yetkililerince, birimlerinin yıllık faaliyetlerini yansıtmak üzere, kullandıkları kaynakları, bütçe gerçekleşmelerini, mali durum vb. bilgileri içeren (yıllık) faaliyet raporu hazırlanması ve kamuoyuna da açıklanması gerekmektedir.</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Mahalli idarelerce hazırlanan idare faaliyet raporlarının birer örneği İçişleri Bakanlığına gönderilir.</w:t>
                  </w:r>
                  <w:r>
                    <w:rPr>
                      <w:rFonts w:ascii="Times New Roman" w:eastAsia="Times New Roman" w:hAnsi="Times New Roman" w:cs="Times New Roman"/>
                      <w:sz w:val="24"/>
                      <w:szCs w:val="24"/>
                      <w:lang w:eastAsia="tr-TR"/>
                    </w:rPr>
                    <w:t xml:space="preserve"> </w:t>
                  </w:r>
                  <w:r w:rsidRPr="00A53994">
                    <w:rPr>
                      <w:rFonts w:ascii="Times New Roman" w:eastAsia="Times New Roman" w:hAnsi="Times New Roman" w:cs="Times New Roman"/>
                      <w:sz w:val="24"/>
                      <w:szCs w:val="24"/>
                      <w:lang w:eastAsia="tr-TR"/>
                    </w:rPr>
                    <w:t>İçişleri Bakanlığı bu raporları esas alarak, kendi değerlendirmelerini de içeren, mahalli idareler genel faaliyet raporunu</w:t>
                  </w:r>
                  <w:r w:rsidRPr="00A53994">
                    <w:rPr>
                      <w:rFonts w:ascii="Times New Roman" w:eastAsia="Times New Roman" w:hAnsi="Times New Roman" w:cs="Times New Roman"/>
                      <w:b/>
                      <w:bCs/>
                      <w:sz w:val="24"/>
                      <w:szCs w:val="24"/>
                      <w:lang w:eastAsia="tr-TR"/>
                    </w:rPr>
                    <w:t> </w:t>
                  </w:r>
                  <w:r w:rsidRPr="00A53994">
                    <w:rPr>
                      <w:rFonts w:ascii="Times New Roman" w:eastAsia="Times New Roman" w:hAnsi="Times New Roman" w:cs="Times New Roman"/>
                      <w:sz w:val="24"/>
                      <w:szCs w:val="24"/>
                      <w:lang w:eastAsia="tr-TR"/>
                    </w:rPr>
                    <w:t>hazırlar ve kamuoyuna açıklar. Raporun birer örneğini Sayıştay Başkanlığına ve Maliye Bakanlığına gönderir.</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Sayıştay; mahallî idareler genel faaliyet raporunu, (Maliye Bakanlığınca hazırlanmış) genel faaliyet raporunu ve harcama sonrası ilgili birimlerde yaptığı dış denetimlerinin sonuçlarını dikkate alarak görüşleriyle birlikte TBMM</w:t>
                  </w:r>
                  <w:r>
                    <w:rPr>
                      <w:rFonts w:ascii="Times New Roman" w:eastAsia="Times New Roman" w:hAnsi="Times New Roman" w:cs="Times New Roman"/>
                      <w:sz w:val="24"/>
                      <w:szCs w:val="24"/>
                      <w:lang w:eastAsia="tr-TR"/>
                    </w:rPr>
                    <w:t>’ye</w:t>
                  </w:r>
                  <w:r w:rsidRPr="00A53994">
                    <w:rPr>
                      <w:rFonts w:ascii="Times New Roman" w:eastAsia="Times New Roman" w:hAnsi="Times New Roman" w:cs="Times New Roman"/>
                      <w:sz w:val="24"/>
                      <w:szCs w:val="24"/>
                      <w:lang w:eastAsia="tr-TR"/>
                    </w:rPr>
                    <w:t xml:space="preserve"> sunar.</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Anılan yasa kuralı uyarınca Sayıştay tarafından hazırlanmış olan “</w:t>
                  </w:r>
                  <w:r w:rsidRPr="00A53994">
                    <w:rPr>
                      <w:rFonts w:ascii="Times New Roman" w:eastAsia="Times New Roman" w:hAnsi="Times New Roman" w:cs="Times New Roman"/>
                      <w:b/>
                      <w:bCs/>
                      <w:sz w:val="24"/>
                      <w:szCs w:val="24"/>
                      <w:lang w:eastAsia="tr-TR"/>
                    </w:rPr>
                    <w:t xml:space="preserve">2017 Yılı Faaliyet Genel Değerlendirme </w:t>
                  </w:r>
                  <w:proofErr w:type="gramStart"/>
                  <w:r w:rsidRPr="00A53994">
                    <w:rPr>
                      <w:rFonts w:ascii="Times New Roman" w:eastAsia="Times New Roman" w:hAnsi="Times New Roman" w:cs="Times New Roman"/>
                      <w:b/>
                      <w:bCs/>
                      <w:sz w:val="24"/>
                      <w:szCs w:val="24"/>
                      <w:lang w:eastAsia="tr-TR"/>
                    </w:rPr>
                    <w:t>Raporu</w:t>
                  </w:r>
                  <w:r w:rsidRPr="00A53994">
                    <w:rPr>
                      <w:rFonts w:ascii="Times New Roman" w:eastAsia="Times New Roman" w:hAnsi="Times New Roman" w:cs="Times New Roman"/>
                      <w:sz w:val="24"/>
                      <w:szCs w:val="24"/>
                      <w:lang w:eastAsia="tr-TR"/>
                    </w:rPr>
                    <w:t>”  ve</w:t>
                  </w:r>
                  <w:proofErr w:type="gramEnd"/>
                  <w:r w:rsidRPr="00A53994">
                    <w:rPr>
                      <w:rFonts w:ascii="Times New Roman" w:eastAsia="Times New Roman" w:hAnsi="Times New Roman" w:cs="Times New Roman"/>
                      <w:sz w:val="24"/>
                      <w:szCs w:val="24"/>
                      <w:lang w:eastAsia="tr-TR"/>
                    </w:rPr>
                    <w:t xml:space="preserve"> “</w:t>
                  </w:r>
                  <w:r w:rsidRPr="00A53994">
                    <w:rPr>
                      <w:rFonts w:ascii="Times New Roman" w:eastAsia="Times New Roman" w:hAnsi="Times New Roman" w:cs="Times New Roman"/>
                      <w:b/>
                      <w:bCs/>
                      <w:sz w:val="24"/>
                      <w:szCs w:val="24"/>
                      <w:lang w:eastAsia="tr-TR"/>
                    </w:rPr>
                    <w:t>2017 yılı Dış Denetim Genel Değerlendirme Raporu”</w:t>
                  </w:r>
                  <w:r>
                    <w:rPr>
                      <w:rFonts w:ascii="Times New Roman" w:eastAsia="Times New Roman" w:hAnsi="Times New Roman" w:cs="Times New Roman"/>
                      <w:b/>
                      <w:bCs/>
                      <w:sz w:val="24"/>
                      <w:szCs w:val="24"/>
                      <w:lang w:eastAsia="tr-TR"/>
                    </w:rPr>
                    <w:t xml:space="preserve"> </w:t>
                  </w:r>
                  <w:r w:rsidRPr="00A53994">
                    <w:rPr>
                      <w:rFonts w:ascii="Times New Roman" w:eastAsia="Times New Roman" w:hAnsi="Times New Roman" w:cs="Times New Roman"/>
                      <w:sz w:val="24"/>
                      <w:szCs w:val="24"/>
                      <w:lang w:eastAsia="tr-TR"/>
                    </w:rPr>
                    <w:t>ile </w:t>
                  </w:r>
                  <w:r w:rsidRPr="00A53994">
                    <w:rPr>
                      <w:rFonts w:ascii="Times New Roman" w:eastAsia="Times New Roman" w:hAnsi="Times New Roman" w:cs="Times New Roman"/>
                      <w:b/>
                      <w:bCs/>
                      <w:sz w:val="24"/>
                      <w:szCs w:val="24"/>
                      <w:lang w:eastAsia="tr-TR"/>
                    </w:rPr>
                    <w:t>2017 Yılı Mali İstatistikleri Değerlendirme Raporu”</w:t>
                  </w:r>
                  <w:r w:rsidRPr="00A53994">
                    <w:rPr>
                      <w:rFonts w:ascii="Times New Roman" w:eastAsia="Times New Roman" w:hAnsi="Times New Roman" w:cs="Times New Roman"/>
                      <w:i/>
                      <w:iCs/>
                      <w:sz w:val="24"/>
                      <w:szCs w:val="24"/>
                      <w:lang w:eastAsia="tr-TR"/>
                    </w:rPr>
                    <w:t>,  </w:t>
                  </w:r>
                  <w:r w:rsidRPr="00A53994">
                    <w:rPr>
                      <w:rFonts w:ascii="Times New Roman" w:eastAsia="Times New Roman" w:hAnsi="Times New Roman" w:cs="Times New Roman"/>
                      <w:sz w:val="24"/>
                      <w:szCs w:val="24"/>
                      <w:lang w:eastAsia="tr-TR"/>
                    </w:rPr>
                    <w:t>2018 yılı Eylül ayında TBMM’ye sunulmuştur.</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Bu yazımızda “</w:t>
                  </w:r>
                  <w:r w:rsidRPr="00A53994">
                    <w:rPr>
                      <w:rFonts w:ascii="Times New Roman" w:eastAsia="Times New Roman" w:hAnsi="Times New Roman" w:cs="Times New Roman"/>
                      <w:b/>
                      <w:bCs/>
                      <w:sz w:val="24"/>
                      <w:szCs w:val="24"/>
                      <w:lang w:eastAsia="tr-TR"/>
                    </w:rPr>
                    <w:t xml:space="preserve">2017 Yılı Mahalli İdareler Genel Faaliyet </w:t>
                  </w:r>
                  <w:proofErr w:type="gramStart"/>
                  <w:r w:rsidRPr="00A53994">
                    <w:rPr>
                      <w:rFonts w:ascii="Times New Roman" w:eastAsia="Times New Roman" w:hAnsi="Times New Roman" w:cs="Times New Roman"/>
                      <w:b/>
                      <w:bCs/>
                      <w:sz w:val="24"/>
                      <w:szCs w:val="24"/>
                      <w:lang w:eastAsia="tr-TR"/>
                    </w:rPr>
                    <w:t>Raporu</w:t>
                  </w:r>
                  <w:r w:rsidRPr="00A53994">
                    <w:rPr>
                      <w:rFonts w:ascii="Times New Roman" w:eastAsia="Times New Roman" w:hAnsi="Times New Roman" w:cs="Times New Roman"/>
                      <w:sz w:val="24"/>
                      <w:szCs w:val="24"/>
                      <w:lang w:eastAsia="tr-TR"/>
                    </w:rPr>
                    <w:t>“ ve</w:t>
                  </w:r>
                  <w:proofErr w:type="gramEnd"/>
                  <w:r w:rsidRPr="00A53994">
                    <w:rPr>
                      <w:rFonts w:ascii="Times New Roman" w:eastAsia="Times New Roman" w:hAnsi="Times New Roman" w:cs="Times New Roman"/>
                      <w:sz w:val="24"/>
                      <w:szCs w:val="24"/>
                      <w:lang w:eastAsia="tr-TR"/>
                    </w:rPr>
                    <w:t xml:space="preserve"> “</w:t>
                  </w:r>
                  <w:r w:rsidRPr="00A53994">
                    <w:rPr>
                      <w:rFonts w:ascii="Times New Roman" w:eastAsia="Times New Roman" w:hAnsi="Times New Roman" w:cs="Times New Roman"/>
                      <w:b/>
                      <w:bCs/>
                      <w:sz w:val="24"/>
                      <w:szCs w:val="24"/>
                      <w:lang w:eastAsia="tr-TR"/>
                    </w:rPr>
                    <w:t>Maliye Bakanlığı 2017 Yılı Genel Faaliyet Raporu</w:t>
                  </w:r>
                  <w:r w:rsidRPr="00A53994">
                    <w:rPr>
                      <w:rFonts w:ascii="Times New Roman" w:eastAsia="Times New Roman" w:hAnsi="Times New Roman" w:cs="Times New Roman"/>
                      <w:sz w:val="24"/>
                      <w:szCs w:val="24"/>
                      <w:lang w:eastAsia="tr-TR"/>
                    </w:rPr>
                    <w:t>” ile Sayıştay’ın sözü edilen değerlendirme raporlarındaki, belediye idarelerini ilgilendiren önemli gördüğümüz konulara değinilecektir.</w:t>
                  </w:r>
                </w:p>
                <w:p w:rsidR="00A53994" w:rsidRDefault="00A53994" w:rsidP="00A53994">
                  <w:pPr>
                    <w:spacing w:after="0" w:line="253" w:lineRule="atLeast"/>
                    <w:ind w:firstLine="851"/>
                    <w:jc w:val="both"/>
                    <w:rPr>
                      <w:rFonts w:ascii="Times New Roman" w:eastAsia="Times New Roman" w:hAnsi="Times New Roman" w:cs="Times New Roman"/>
                      <w:b/>
                      <w:bCs/>
                      <w:sz w:val="24"/>
                      <w:szCs w:val="24"/>
                      <w:lang w:eastAsia="tr-TR"/>
                    </w:rPr>
                  </w:pPr>
                  <w:r w:rsidRPr="00A53994">
                    <w:rPr>
                      <w:rFonts w:ascii="Times New Roman" w:eastAsia="Times New Roman" w:hAnsi="Times New Roman" w:cs="Times New Roman"/>
                      <w:b/>
                      <w:bCs/>
                      <w:sz w:val="24"/>
                      <w:szCs w:val="24"/>
                      <w:lang w:eastAsia="tr-TR"/>
                    </w:rPr>
                    <w:lastRenderedPageBreak/>
                    <w:t>II-BELEDİYELERE İLİŞKİN GENEL BİLGİLER</w:t>
                  </w:r>
                </w:p>
                <w:p w:rsidR="00A53994" w:rsidRPr="00A53994" w:rsidRDefault="00A53994" w:rsidP="00A53994">
                  <w:pPr>
                    <w:spacing w:after="0" w:line="253" w:lineRule="atLeast"/>
                    <w:ind w:firstLine="851"/>
                    <w:jc w:val="both"/>
                    <w:rPr>
                      <w:rFonts w:ascii="Calibri" w:eastAsia="Times New Roman" w:hAnsi="Calibri" w:cs="Arial"/>
                      <w:lang w:eastAsia="tr-TR"/>
                    </w:rPr>
                  </w:pP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b/>
                      <w:bCs/>
                      <w:sz w:val="24"/>
                      <w:szCs w:val="24"/>
                      <w:lang w:eastAsia="tr-TR"/>
                    </w:rPr>
                    <w:t>A-Belediye Sayıları</w:t>
                  </w: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 xml:space="preserve">12.11.2012 gün ve 6360 sayılı Kanun ile, 2014 yılında, 1.554 belediyenin tüzel kişiliği </w:t>
                  </w:r>
                </w:p>
                <w:p w:rsidR="00A53994" w:rsidRDefault="00A53994" w:rsidP="00A53994">
                  <w:pPr>
                    <w:spacing w:after="0" w:line="253" w:lineRule="atLeast"/>
                    <w:jc w:val="both"/>
                    <w:rPr>
                      <w:rFonts w:ascii="Times New Roman" w:eastAsia="Times New Roman" w:hAnsi="Times New Roman" w:cs="Times New Roman"/>
                      <w:sz w:val="24"/>
                      <w:szCs w:val="24"/>
                      <w:lang w:eastAsia="tr-TR"/>
                    </w:rPr>
                  </w:pPr>
                  <w:proofErr w:type="gramStart"/>
                  <w:r w:rsidRPr="00A53994">
                    <w:rPr>
                      <w:rFonts w:ascii="Times New Roman" w:eastAsia="Times New Roman" w:hAnsi="Times New Roman" w:cs="Times New Roman"/>
                      <w:sz w:val="24"/>
                      <w:szCs w:val="24"/>
                      <w:lang w:eastAsia="tr-TR"/>
                    </w:rPr>
                    <w:t>kaldırıldığı</w:t>
                  </w:r>
                  <w:proofErr w:type="gramEnd"/>
                  <w:r w:rsidRPr="00A53994">
                    <w:rPr>
                      <w:rFonts w:ascii="Times New Roman" w:eastAsia="Times New Roman" w:hAnsi="Times New Roman" w:cs="Times New Roman"/>
                      <w:sz w:val="24"/>
                      <w:szCs w:val="24"/>
                      <w:lang w:eastAsia="tr-TR"/>
                    </w:rPr>
                    <w:t xml:space="preserve"> için belediye sayısında %53 oranında azalma olmuştur.</w:t>
                  </w:r>
                </w:p>
                <w:p w:rsidR="002F57A7" w:rsidRPr="00A53994" w:rsidRDefault="002F57A7" w:rsidP="00A53994">
                  <w:pPr>
                    <w:spacing w:after="0" w:line="253" w:lineRule="atLeast"/>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2017 yılı itibarıyla (1398) adet belediye idaresi bulunmaktadır.</w:t>
                  </w:r>
                  <w:r>
                    <w:rPr>
                      <w:rFonts w:ascii="Times New Roman" w:eastAsia="Times New Roman" w:hAnsi="Times New Roman" w:cs="Times New Roman"/>
                      <w:sz w:val="24"/>
                      <w:szCs w:val="24"/>
                      <w:lang w:eastAsia="tr-TR"/>
                    </w:rPr>
                    <w:t xml:space="preserve"> </w:t>
                  </w:r>
                  <w:r w:rsidRPr="00A53994">
                    <w:rPr>
                      <w:rFonts w:ascii="Times New Roman" w:eastAsia="Times New Roman" w:hAnsi="Times New Roman" w:cs="Times New Roman"/>
                      <w:sz w:val="24"/>
                      <w:szCs w:val="24"/>
                      <w:lang w:eastAsia="tr-TR"/>
                    </w:rPr>
                    <w:t>Mevcut belediyelerimizin 30’u büyükşehir, 51’i il, 519’u büyükşehir ilçe, 402 ‘ü ilçe ve 396’sı ise belde belediyesi statüsündedir.</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 xml:space="preserve">Nüfusları 10.000 altında (717) belediye bulunmaktadır. Ülkemizdeki nüfusun </w:t>
                  </w:r>
                  <w:proofErr w:type="gramStart"/>
                  <w:r w:rsidRPr="00A53994">
                    <w:rPr>
                      <w:rFonts w:ascii="Times New Roman" w:eastAsia="Times New Roman" w:hAnsi="Times New Roman" w:cs="Times New Roman"/>
                      <w:sz w:val="24"/>
                      <w:szCs w:val="24"/>
                      <w:lang w:eastAsia="tr-TR"/>
                    </w:rPr>
                    <w:t>% 94</w:t>
                  </w:r>
                  <w:proofErr w:type="gramEnd"/>
                  <w:r>
                    <w:rPr>
                      <w:rFonts w:ascii="Times New Roman" w:eastAsia="Times New Roman" w:hAnsi="Times New Roman" w:cs="Times New Roman"/>
                      <w:sz w:val="24"/>
                      <w:szCs w:val="24"/>
                      <w:lang w:eastAsia="tr-TR"/>
                    </w:rPr>
                    <w:t>’</w:t>
                  </w:r>
                  <w:r w:rsidRPr="00A53994">
                    <w:rPr>
                      <w:rFonts w:ascii="Times New Roman" w:eastAsia="Times New Roman" w:hAnsi="Times New Roman" w:cs="Times New Roman"/>
                      <w:sz w:val="24"/>
                      <w:szCs w:val="24"/>
                      <w:lang w:eastAsia="tr-TR"/>
                    </w:rPr>
                    <w:t>ü belediye sınırları içinde yaşamaktadır.</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Belediyelere bağlı (İSKİ/ASKİ/EGO vb.) 33 idare bulunmaktadır. Sözü edilen bağlı idarelerin</w:t>
                  </w:r>
                  <w:r w:rsidRPr="00A53994">
                    <w:rPr>
                      <w:rFonts w:ascii="Times New Roman" w:eastAsia="Times New Roman" w:hAnsi="Times New Roman" w:cs="Times New Roman"/>
                      <w:lang w:eastAsia="tr-TR"/>
                    </w:rPr>
                    <w:t> </w:t>
                  </w:r>
                  <w:r w:rsidRPr="00A53994">
                    <w:rPr>
                      <w:rFonts w:ascii="Times New Roman" w:eastAsia="Times New Roman" w:hAnsi="Times New Roman" w:cs="Times New Roman"/>
                      <w:sz w:val="24"/>
                      <w:szCs w:val="24"/>
                      <w:lang w:eastAsia="tr-TR"/>
                    </w:rPr>
                    <w:t>sayılarının azlığı ve inceleme kolaylığı dikkate alınarak; bağlı idareler personel konusu hariç, inceleme kapsamı dışında bırakılmıştır.</w:t>
                  </w: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b/>
                      <w:bCs/>
                      <w:sz w:val="24"/>
                      <w:szCs w:val="24"/>
                      <w:lang w:eastAsia="tr-TR"/>
                    </w:rPr>
                    <w:t> </w:t>
                  </w:r>
                </w:p>
                <w:p w:rsidR="00A53994" w:rsidRDefault="00A53994" w:rsidP="00A53994">
                  <w:pPr>
                    <w:spacing w:after="0" w:line="253" w:lineRule="atLeast"/>
                    <w:ind w:firstLine="851"/>
                    <w:jc w:val="both"/>
                    <w:rPr>
                      <w:rFonts w:ascii="Times New Roman" w:eastAsia="Times New Roman" w:hAnsi="Times New Roman" w:cs="Times New Roman"/>
                      <w:b/>
                      <w:bCs/>
                      <w:sz w:val="24"/>
                      <w:szCs w:val="24"/>
                      <w:lang w:eastAsia="tr-TR"/>
                    </w:rPr>
                  </w:pPr>
                  <w:r w:rsidRPr="00A53994">
                    <w:rPr>
                      <w:rFonts w:ascii="Times New Roman" w:eastAsia="Times New Roman" w:hAnsi="Times New Roman" w:cs="Times New Roman"/>
                      <w:b/>
                      <w:bCs/>
                      <w:sz w:val="24"/>
                      <w:szCs w:val="24"/>
                      <w:lang w:eastAsia="tr-TR"/>
                    </w:rPr>
                    <w:t>B-Belediye Görevlileri</w:t>
                  </w:r>
                </w:p>
                <w:p w:rsidR="00A53994" w:rsidRPr="00A53994" w:rsidRDefault="00A53994"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2014 mahalli idareler genel seçim sonuçlarına göre; 1397 belediye başkanlığından 40’ı (</w:t>
                  </w:r>
                  <w:proofErr w:type="gramStart"/>
                  <w:r w:rsidRPr="00A53994">
                    <w:rPr>
                      <w:rFonts w:ascii="Times New Roman" w:eastAsia="Times New Roman" w:hAnsi="Times New Roman" w:cs="Times New Roman"/>
                      <w:sz w:val="24"/>
                      <w:szCs w:val="24"/>
                      <w:lang w:eastAsia="tr-TR"/>
                    </w:rPr>
                    <w:t>% 2,8</w:t>
                  </w:r>
                  <w:proofErr w:type="gramEnd"/>
                  <w:r w:rsidRPr="00A53994">
                    <w:rPr>
                      <w:rFonts w:ascii="Times New Roman" w:eastAsia="Times New Roman" w:hAnsi="Times New Roman" w:cs="Times New Roman"/>
                      <w:sz w:val="24"/>
                      <w:szCs w:val="24"/>
                      <w:lang w:eastAsia="tr-TR"/>
                    </w:rPr>
                    <w:t>), 20.498 belediye meclis üyesinden 2.198</w:t>
                  </w:r>
                  <w:r>
                    <w:rPr>
                      <w:rFonts w:ascii="Times New Roman" w:eastAsia="Times New Roman" w:hAnsi="Times New Roman" w:cs="Times New Roman"/>
                      <w:sz w:val="24"/>
                      <w:szCs w:val="24"/>
                      <w:lang w:eastAsia="tr-TR"/>
                    </w:rPr>
                    <w:t>’</w:t>
                  </w:r>
                  <w:r w:rsidRPr="00A53994">
                    <w:rPr>
                      <w:rFonts w:ascii="Times New Roman" w:eastAsia="Times New Roman" w:hAnsi="Times New Roman" w:cs="Times New Roman"/>
                      <w:sz w:val="24"/>
                      <w:szCs w:val="24"/>
                      <w:lang w:eastAsia="tr-TR"/>
                    </w:rPr>
                    <w:t>i (% 10,7) kadınlar tarafından kazanılmıştır.</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 xml:space="preserve">2017 yılı itibarıyla belediyelerde; 109.394 memur, 13.994 sözleşmeli, 78.024 sürekli işçi, 5.528 geçici işçi statüsünde olmak üzere toplam 206.940 personel istihdam edilmiştir. 2016 yılına göre istihdam edilen toplam personel sayısında </w:t>
                  </w:r>
                  <w:proofErr w:type="gramStart"/>
                  <w:r w:rsidRPr="00A53994">
                    <w:rPr>
                      <w:rFonts w:ascii="Times New Roman" w:eastAsia="Times New Roman" w:hAnsi="Times New Roman" w:cs="Times New Roman"/>
                      <w:sz w:val="24"/>
                      <w:szCs w:val="24"/>
                      <w:lang w:eastAsia="tr-TR"/>
                    </w:rPr>
                    <w:t>% 0</w:t>
                  </w:r>
                  <w:r>
                    <w:rPr>
                      <w:rFonts w:ascii="Times New Roman" w:eastAsia="Times New Roman" w:hAnsi="Times New Roman" w:cs="Times New Roman"/>
                      <w:sz w:val="24"/>
                      <w:szCs w:val="24"/>
                      <w:lang w:eastAsia="tr-TR"/>
                    </w:rPr>
                    <w:t>,</w:t>
                  </w:r>
                  <w:r w:rsidRPr="00A53994">
                    <w:rPr>
                      <w:rFonts w:ascii="Times New Roman" w:eastAsia="Times New Roman" w:hAnsi="Times New Roman" w:cs="Times New Roman"/>
                      <w:sz w:val="24"/>
                      <w:szCs w:val="24"/>
                      <w:lang w:eastAsia="tr-TR"/>
                    </w:rPr>
                    <w:t>2</w:t>
                  </w:r>
                  <w:proofErr w:type="gramEnd"/>
                  <w:r w:rsidRPr="00A53994">
                    <w:rPr>
                      <w:rFonts w:ascii="Times New Roman" w:eastAsia="Times New Roman" w:hAnsi="Times New Roman" w:cs="Times New Roman"/>
                      <w:sz w:val="24"/>
                      <w:szCs w:val="24"/>
                      <w:lang w:eastAsia="tr-TR"/>
                    </w:rPr>
                    <w:t xml:space="preserve"> oranında (418 kişi) düşme görülmektedir.</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Kamu sektöründe 2017 yılında çalışanların toplam sayısı ise 3.589.817 olup, kamu sektöründeki toplam personelin; kadroluların (%3,6), sözleşmelilerin (</w:t>
                  </w:r>
                  <w:proofErr w:type="gramStart"/>
                  <w:r w:rsidRPr="00A53994">
                    <w:rPr>
                      <w:rFonts w:ascii="Times New Roman" w:eastAsia="Times New Roman" w:hAnsi="Times New Roman" w:cs="Times New Roman"/>
                      <w:sz w:val="24"/>
                      <w:szCs w:val="24"/>
                      <w:lang w:eastAsia="tr-TR"/>
                    </w:rPr>
                    <w:t>% 6,5</w:t>
                  </w:r>
                  <w:proofErr w:type="gramEnd"/>
                  <w:r w:rsidRPr="00A53994">
                    <w:rPr>
                      <w:rFonts w:ascii="Times New Roman" w:eastAsia="Times New Roman" w:hAnsi="Times New Roman" w:cs="Times New Roman"/>
                      <w:sz w:val="24"/>
                      <w:szCs w:val="24"/>
                      <w:lang w:eastAsia="tr-TR"/>
                    </w:rPr>
                    <w:t>), sürekli işçilerin (%20) si, geçici işçilerin (%20) sini belediyelerde çalışanlar oluşturmaktadır. (Bütçe Gerekçesi, 2018: 245)</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Diğer yandan 2017 yılında belediyelerde ayrıca 336.257 personel hizmet satın alma yöntemiyle (taşeron işçi olarak) istihdam edilmiştir.</w:t>
                  </w:r>
                  <w:r w:rsidRPr="00A53994">
                    <w:rPr>
                      <w:rFonts w:ascii="Times New Roman" w:eastAsia="Times New Roman" w:hAnsi="Times New Roman" w:cs="Times New Roman"/>
                      <w:b/>
                      <w:bCs/>
                      <w:sz w:val="24"/>
                      <w:szCs w:val="24"/>
                      <w:lang w:eastAsia="tr-TR"/>
                    </w:rPr>
                    <w:t> </w:t>
                  </w:r>
                  <w:r w:rsidRPr="00A53994">
                    <w:rPr>
                      <w:rFonts w:ascii="Times New Roman" w:eastAsia="Times New Roman" w:hAnsi="Times New Roman" w:cs="Times New Roman"/>
                      <w:sz w:val="24"/>
                      <w:szCs w:val="24"/>
                      <w:lang w:eastAsia="tr-TR"/>
                    </w:rPr>
                    <w:t>(İçişleri, 2017: 60)</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w:t>
                  </w:r>
                  <w:r w:rsidRPr="00A53994">
                    <w:rPr>
                      <w:rFonts w:ascii="Times New Roman" w:eastAsia="Times New Roman" w:hAnsi="Times New Roman" w:cs="Times New Roman"/>
                      <w:i/>
                      <w:iCs/>
                      <w:sz w:val="24"/>
                      <w:szCs w:val="24"/>
                      <w:lang w:eastAsia="tr-TR"/>
                    </w:rPr>
                    <w:t>24.12.2017 günlü R.G. yayınlanmış olan 696 sayılı KHK ile; belediyelerde personel çalıştırmasına dayalı hizmet alım sözleşmeleri kapsamında yükleniciler tarafından 04.12.2017 tarihi itibarıyla çalıştırılmakta olan (taşeron) işçilerin büyük bir bölümü; bazı koşullarla, sürekli işçi statüsünde 2018 yılında belediyelerdeki kurulu/kurulacak olan şirketler devir edilmiştir.</w:t>
                  </w:r>
                  <w:r w:rsidRPr="00A53994">
                    <w:rPr>
                      <w:rFonts w:ascii="Times New Roman" w:eastAsia="Times New Roman" w:hAnsi="Times New Roman" w:cs="Times New Roman"/>
                      <w:sz w:val="24"/>
                      <w:szCs w:val="24"/>
                      <w:lang w:eastAsia="tr-TR"/>
                    </w:rPr>
                    <w:t>)</w:t>
                  </w: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 </w:t>
                  </w:r>
                </w:p>
                <w:p w:rsidR="00A53994" w:rsidRDefault="00A53994" w:rsidP="00A53994">
                  <w:pPr>
                    <w:spacing w:after="0" w:line="253" w:lineRule="atLeast"/>
                    <w:ind w:firstLine="851"/>
                    <w:jc w:val="both"/>
                    <w:rPr>
                      <w:rFonts w:ascii="Times New Roman" w:eastAsia="Times New Roman" w:hAnsi="Times New Roman" w:cs="Times New Roman"/>
                      <w:b/>
                      <w:bCs/>
                      <w:sz w:val="24"/>
                      <w:szCs w:val="24"/>
                      <w:lang w:eastAsia="tr-TR"/>
                    </w:rPr>
                  </w:pPr>
                  <w:r w:rsidRPr="00A53994">
                    <w:rPr>
                      <w:rFonts w:ascii="Times New Roman" w:eastAsia="Times New Roman" w:hAnsi="Times New Roman" w:cs="Times New Roman"/>
                      <w:b/>
                      <w:bCs/>
                      <w:sz w:val="24"/>
                      <w:szCs w:val="24"/>
                      <w:lang w:eastAsia="tr-TR"/>
                    </w:rPr>
                    <w:t>III-BELEDİYELERİN BÜTÇE GERÇEKLEŞMELERİ</w:t>
                  </w:r>
                </w:p>
                <w:p w:rsidR="00A53994" w:rsidRPr="00A53994" w:rsidRDefault="00A53994"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b/>
                      <w:bCs/>
                      <w:sz w:val="24"/>
                      <w:szCs w:val="24"/>
                      <w:lang w:eastAsia="tr-TR"/>
                    </w:rPr>
                  </w:pPr>
                  <w:r w:rsidRPr="00A53994">
                    <w:rPr>
                      <w:rFonts w:ascii="Times New Roman" w:eastAsia="Times New Roman" w:hAnsi="Times New Roman" w:cs="Times New Roman"/>
                      <w:b/>
                      <w:bCs/>
                      <w:sz w:val="24"/>
                      <w:szCs w:val="24"/>
                      <w:lang w:eastAsia="tr-TR"/>
                    </w:rPr>
                    <w:t>A-Bütçe Dengesi</w:t>
                  </w:r>
                </w:p>
                <w:p w:rsidR="00A53994" w:rsidRPr="00A53994" w:rsidRDefault="00A53994"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 xml:space="preserve">2017 yılında belediyelerin bütçe giderleri 2016 yılına göre </w:t>
                  </w:r>
                  <w:proofErr w:type="gramStart"/>
                  <w:r w:rsidRPr="00A53994">
                    <w:rPr>
                      <w:rFonts w:ascii="Times New Roman" w:eastAsia="Times New Roman" w:hAnsi="Times New Roman" w:cs="Times New Roman"/>
                      <w:sz w:val="24"/>
                      <w:szCs w:val="24"/>
                      <w:lang w:eastAsia="tr-TR"/>
                    </w:rPr>
                    <w:t>%  22</w:t>
                  </w:r>
                  <w:proofErr w:type="gramEnd"/>
                  <w:r w:rsidRPr="00A53994">
                    <w:rPr>
                      <w:rFonts w:ascii="Times New Roman" w:eastAsia="Times New Roman" w:hAnsi="Times New Roman" w:cs="Times New Roman"/>
                      <w:sz w:val="24"/>
                      <w:szCs w:val="24"/>
                      <w:lang w:eastAsia="tr-TR"/>
                    </w:rPr>
                    <w:t>,8 oranında artarak 112 milyar  TL olarak gerçekleşmişken, bütçe gelirleri ise % 19,9 oranında artarak 97 milyar TL olmuştur. Böylece konsolide bütçe 14,9 milyar TL açık vermiştir.</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 xml:space="preserve">Bütçe gelirlerinin, giderlerin ancak </w:t>
                  </w:r>
                  <w:proofErr w:type="gramStart"/>
                  <w:r w:rsidRPr="00A53994">
                    <w:rPr>
                      <w:rFonts w:ascii="Times New Roman" w:eastAsia="Times New Roman" w:hAnsi="Times New Roman" w:cs="Times New Roman"/>
                      <w:sz w:val="24"/>
                      <w:szCs w:val="24"/>
                      <w:lang w:eastAsia="tr-TR"/>
                    </w:rPr>
                    <w:t>% 86,7</w:t>
                  </w:r>
                  <w:proofErr w:type="gramEnd"/>
                  <w:r w:rsidRPr="00A53994">
                    <w:rPr>
                      <w:rFonts w:ascii="Times New Roman" w:eastAsia="Times New Roman" w:hAnsi="Times New Roman" w:cs="Times New Roman"/>
                      <w:sz w:val="24"/>
                      <w:szCs w:val="24"/>
                      <w:lang w:eastAsia="tr-TR"/>
                    </w:rPr>
                    <w:t xml:space="preserve">’sini karşıladığı görülmektedir. 2015 yılında %97, 8 olan gelirlerin giderleri karşılama oranın 2016 yılında </w:t>
                  </w:r>
                  <w:proofErr w:type="gramStart"/>
                  <w:r w:rsidRPr="00A53994">
                    <w:rPr>
                      <w:rFonts w:ascii="Times New Roman" w:eastAsia="Times New Roman" w:hAnsi="Times New Roman" w:cs="Times New Roman"/>
                      <w:sz w:val="24"/>
                      <w:szCs w:val="24"/>
                      <w:lang w:eastAsia="tr-TR"/>
                    </w:rPr>
                    <w:t>% 88,7</w:t>
                  </w:r>
                  <w:proofErr w:type="gramEnd"/>
                  <w:r w:rsidRPr="00A53994">
                    <w:rPr>
                      <w:rFonts w:ascii="Times New Roman" w:eastAsia="Times New Roman" w:hAnsi="Times New Roman" w:cs="Times New Roman"/>
                      <w:sz w:val="24"/>
                      <w:szCs w:val="24"/>
                      <w:lang w:eastAsia="tr-TR"/>
                    </w:rPr>
                    <w:t>’ ye ve 2017 yılında ise %86, 7 düşmüş olmasından, belediyelerin bütçe dengeleri / bütçe açıklarında, giderek artan bir bozulma olduğu anlaşılmaktadır.  (Maliye, 2018: 82-83)</w:t>
                  </w: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b/>
                      <w:bCs/>
                      <w:sz w:val="24"/>
                      <w:szCs w:val="24"/>
                      <w:lang w:eastAsia="tr-TR"/>
                    </w:rPr>
                    <w:lastRenderedPageBreak/>
                    <w:t>B-Bütçe Giderleri</w:t>
                  </w:r>
                </w:p>
                <w:p w:rsidR="00F4438D"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 xml:space="preserve">Belediyelerin ekonomik sınıflandırmaya göre 2017 yılı gider </w:t>
                  </w:r>
                  <w:proofErr w:type="gramStart"/>
                  <w:r w:rsidRPr="00A53994">
                    <w:rPr>
                      <w:rFonts w:ascii="Times New Roman" w:eastAsia="Times New Roman" w:hAnsi="Times New Roman" w:cs="Times New Roman"/>
                      <w:sz w:val="24"/>
                      <w:szCs w:val="24"/>
                      <w:lang w:eastAsia="tr-TR"/>
                    </w:rPr>
                    <w:t>miktarları,  giderlerin</w:t>
                  </w:r>
                  <w:proofErr w:type="gramEnd"/>
                  <w:r w:rsidRPr="00A53994">
                    <w:rPr>
                      <w:rFonts w:ascii="Times New Roman" w:eastAsia="Times New Roman" w:hAnsi="Times New Roman" w:cs="Times New Roman"/>
                      <w:sz w:val="24"/>
                      <w:szCs w:val="24"/>
                      <w:lang w:eastAsia="tr-TR"/>
                    </w:rPr>
                    <w:t xml:space="preserve"> 2017/2016 değişim oranlarına Tablo 1’de yer verilmiştir.</w:t>
                  </w:r>
                </w:p>
                <w:p w:rsidR="00F4438D" w:rsidRDefault="00F4438D" w:rsidP="00A53994">
                  <w:pPr>
                    <w:spacing w:after="0" w:line="253" w:lineRule="atLeast"/>
                    <w:ind w:firstLine="851"/>
                    <w:jc w:val="both"/>
                    <w:rPr>
                      <w:rFonts w:ascii="Times New Roman" w:eastAsia="Times New Roman" w:hAnsi="Times New Roman" w:cs="Times New Roman"/>
                      <w:sz w:val="24"/>
                      <w:szCs w:val="24"/>
                      <w:lang w:eastAsia="tr-TR"/>
                    </w:rPr>
                  </w:pPr>
                </w:p>
                <w:p w:rsidR="00F4438D" w:rsidRPr="00A53994" w:rsidRDefault="00F4438D"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jc w:val="both"/>
                    <w:rPr>
                      <w:rFonts w:ascii="Times New Roman" w:eastAsia="Times New Roman" w:hAnsi="Times New Roman" w:cs="Times New Roman"/>
                      <w:sz w:val="18"/>
                      <w:szCs w:val="18"/>
                      <w:lang w:eastAsia="tr-TR"/>
                    </w:rPr>
                  </w:pPr>
                  <w:r w:rsidRPr="00A53994">
                    <w:rPr>
                      <w:rFonts w:ascii="Times New Roman" w:eastAsia="Times New Roman" w:hAnsi="Times New Roman" w:cs="Times New Roman"/>
                      <w:sz w:val="24"/>
                      <w:szCs w:val="24"/>
                      <w:lang w:eastAsia="tr-TR"/>
                    </w:rPr>
                    <w:t>              </w:t>
                  </w:r>
                  <w:r w:rsidRPr="00A53994">
                    <w:rPr>
                      <w:rFonts w:ascii="Times New Roman" w:eastAsia="Times New Roman" w:hAnsi="Times New Roman" w:cs="Times New Roman"/>
                      <w:b/>
                      <w:bCs/>
                      <w:sz w:val="24"/>
                      <w:szCs w:val="24"/>
                      <w:lang w:eastAsia="tr-TR"/>
                    </w:rPr>
                    <w:t xml:space="preserve">Tablo 1: Tüm Belediyelerin 2017 Yılı Ekonomik Sınıflandırma Düzeyinde Bütçe </w:t>
                  </w:r>
                  <w:proofErr w:type="gramStart"/>
                  <w:r w:rsidRPr="00A53994">
                    <w:rPr>
                      <w:rFonts w:ascii="Times New Roman" w:eastAsia="Times New Roman" w:hAnsi="Times New Roman" w:cs="Times New Roman"/>
                      <w:b/>
                      <w:bCs/>
                      <w:sz w:val="24"/>
                      <w:szCs w:val="24"/>
                      <w:lang w:eastAsia="tr-TR"/>
                    </w:rPr>
                    <w:t>Giderleri</w:t>
                  </w:r>
                  <w:r w:rsidRPr="00A53994">
                    <w:rPr>
                      <w:rFonts w:ascii="Times New Roman" w:eastAsia="Times New Roman" w:hAnsi="Times New Roman" w:cs="Times New Roman"/>
                      <w:sz w:val="24"/>
                      <w:szCs w:val="24"/>
                      <w:lang w:eastAsia="tr-TR"/>
                    </w:rPr>
                    <w:t> </w:t>
                  </w:r>
                  <w:r w:rsidRPr="00A53994">
                    <w:rPr>
                      <w:rFonts w:ascii="Times New Roman" w:eastAsia="Times New Roman" w:hAnsi="Times New Roman" w:cs="Times New Roman"/>
                      <w:sz w:val="18"/>
                      <w:szCs w:val="18"/>
                      <w:lang w:eastAsia="tr-TR"/>
                    </w:rPr>
                    <w:t> (</w:t>
                  </w:r>
                  <w:proofErr w:type="gramEnd"/>
                  <w:r w:rsidRPr="00A53994">
                    <w:rPr>
                      <w:rFonts w:ascii="Times New Roman" w:eastAsia="Times New Roman" w:hAnsi="Times New Roman" w:cs="Times New Roman"/>
                      <w:sz w:val="18"/>
                      <w:szCs w:val="18"/>
                      <w:lang w:eastAsia="tr-TR"/>
                    </w:rPr>
                    <w:t>Milyon TL)</w:t>
                  </w:r>
                </w:p>
                <w:p w:rsidR="00F4438D" w:rsidRPr="00A53994" w:rsidRDefault="00F4438D" w:rsidP="00A53994">
                  <w:pPr>
                    <w:spacing w:after="0" w:line="253" w:lineRule="atLeast"/>
                    <w:jc w:val="both"/>
                    <w:rPr>
                      <w:rFonts w:ascii="Calibri" w:eastAsia="Times New Roman" w:hAnsi="Calibri" w:cs="Arial"/>
                      <w:lang w:eastAsia="tr-TR"/>
                    </w:rPr>
                  </w:pPr>
                </w:p>
                <w:tbl>
                  <w:tblPr>
                    <w:tblW w:w="8030" w:type="dxa"/>
                    <w:jc w:val="center"/>
                    <w:tblCellMar>
                      <w:left w:w="0" w:type="dxa"/>
                      <w:right w:w="0" w:type="dxa"/>
                    </w:tblCellMar>
                    <w:tblLook w:val="04A0" w:firstRow="1" w:lastRow="0" w:firstColumn="1" w:lastColumn="0" w:noHBand="0" w:noVBand="1"/>
                  </w:tblPr>
                  <w:tblGrid>
                    <w:gridCol w:w="4421"/>
                    <w:gridCol w:w="1269"/>
                    <w:gridCol w:w="1139"/>
                    <w:gridCol w:w="1141"/>
                    <w:gridCol w:w="60"/>
                  </w:tblGrid>
                  <w:tr w:rsidR="00A53994" w:rsidRPr="00A53994" w:rsidTr="00F4438D">
                    <w:trPr>
                      <w:gridAfter w:val="1"/>
                      <w:wAfter w:w="20" w:type="dxa"/>
                      <w:trHeight w:val="586"/>
                      <w:jc w:val="center"/>
                    </w:trPr>
                    <w:tc>
                      <w:tcPr>
                        <w:tcW w:w="44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GİDERİN TÜRÜ</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2016</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b/>
                            <w:bCs/>
                            <w:sz w:val="20"/>
                            <w:szCs w:val="20"/>
                            <w:lang w:eastAsia="tr-TR"/>
                          </w:rPr>
                          <w:t> </w:t>
                        </w:r>
                      </w:p>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b/>
                            <w:bCs/>
                            <w:sz w:val="20"/>
                            <w:szCs w:val="20"/>
                            <w:lang w:eastAsia="tr-TR"/>
                          </w:rPr>
                          <w:t> </w:t>
                        </w:r>
                      </w:p>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b/>
                            <w:bCs/>
                            <w:sz w:val="20"/>
                            <w:szCs w:val="20"/>
                            <w:lang w:eastAsia="tr-TR"/>
                          </w:rPr>
                          <w:t>2017</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b/>
                            <w:bCs/>
                            <w:sz w:val="20"/>
                            <w:szCs w:val="20"/>
                            <w:lang w:eastAsia="tr-TR"/>
                          </w:rPr>
                          <w:t>2017/2016</w:t>
                        </w:r>
                      </w:p>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b/>
                            <w:bCs/>
                            <w:sz w:val="20"/>
                            <w:szCs w:val="20"/>
                            <w:lang w:eastAsia="tr-TR"/>
                          </w:rPr>
                          <w:t>Değişim Oranı (%)</w:t>
                        </w:r>
                      </w:p>
                    </w:tc>
                  </w:tr>
                  <w:tr w:rsidR="00A53994" w:rsidRPr="00A53994" w:rsidTr="00F4438D">
                    <w:trPr>
                      <w:trHeight w:val="268"/>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1-Personel Giderleri</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12.290</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20"/>
                            <w:szCs w:val="20"/>
                            <w:lang w:eastAsia="tr-TR"/>
                          </w:rPr>
                          <w:t>12.917</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20"/>
                            <w:szCs w:val="20"/>
                            <w:lang w:eastAsia="tr-TR"/>
                          </w:rPr>
                          <w:t>5,1</w:t>
                        </w:r>
                      </w:p>
                    </w:tc>
                    <w:tc>
                      <w:tcPr>
                        <w:tcW w:w="20" w:type="dxa"/>
                        <w:tcBorders>
                          <w:top w:val="nil"/>
                          <w:left w:val="nil"/>
                          <w:bottom w:val="nil"/>
                          <w:right w:val="nil"/>
                        </w:tcBorders>
                        <w:vAlign w:val="center"/>
                        <w:hideMark/>
                      </w:tcPr>
                      <w:p w:rsidR="00A53994" w:rsidRPr="00A53994" w:rsidRDefault="00A53994" w:rsidP="00A53994">
                        <w:pPr>
                          <w:spacing w:after="200" w:line="253" w:lineRule="atLeast"/>
                          <w:rPr>
                            <w:rFonts w:ascii="Calibri" w:eastAsia="Times New Roman" w:hAnsi="Calibri" w:cs="Arial"/>
                            <w:lang w:eastAsia="tr-TR"/>
                          </w:rPr>
                        </w:pPr>
                        <w:r w:rsidRPr="00A53994">
                          <w:rPr>
                            <w:rFonts w:ascii="Calibri" w:eastAsia="Times New Roman" w:hAnsi="Calibri" w:cs="Arial"/>
                            <w:lang w:eastAsia="tr-TR"/>
                          </w:rPr>
                          <w:t> </w:t>
                        </w:r>
                      </w:p>
                    </w:tc>
                  </w:tr>
                  <w:tr w:rsidR="00A53994" w:rsidRPr="00A53994" w:rsidTr="00F4438D">
                    <w:trPr>
                      <w:trHeight w:val="350"/>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2-SGK Devlet Primi</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1.970</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20"/>
                            <w:szCs w:val="20"/>
                            <w:lang w:eastAsia="tr-TR"/>
                          </w:rPr>
                          <w:t>2.076</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20"/>
                            <w:szCs w:val="20"/>
                            <w:lang w:eastAsia="tr-TR"/>
                          </w:rPr>
                          <w:t>5,4</w:t>
                        </w:r>
                      </w:p>
                    </w:tc>
                    <w:tc>
                      <w:tcPr>
                        <w:tcW w:w="20" w:type="dxa"/>
                        <w:tcBorders>
                          <w:top w:val="nil"/>
                          <w:left w:val="nil"/>
                          <w:bottom w:val="nil"/>
                          <w:right w:val="nil"/>
                        </w:tcBorders>
                        <w:vAlign w:val="center"/>
                        <w:hideMark/>
                      </w:tcPr>
                      <w:p w:rsidR="00A53994" w:rsidRPr="00A53994" w:rsidRDefault="00A53994" w:rsidP="00A53994">
                        <w:pPr>
                          <w:spacing w:after="200" w:line="253" w:lineRule="atLeast"/>
                          <w:rPr>
                            <w:rFonts w:ascii="Calibri" w:eastAsia="Times New Roman" w:hAnsi="Calibri" w:cs="Arial"/>
                            <w:lang w:eastAsia="tr-TR"/>
                          </w:rPr>
                        </w:pPr>
                        <w:r w:rsidRPr="00A53994">
                          <w:rPr>
                            <w:rFonts w:ascii="Calibri" w:eastAsia="Times New Roman" w:hAnsi="Calibri" w:cs="Arial"/>
                            <w:lang w:eastAsia="tr-TR"/>
                          </w:rPr>
                          <w:t> </w:t>
                        </w:r>
                      </w:p>
                    </w:tc>
                  </w:tr>
                  <w:tr w:rsidR="00A53994" w:rsidRPr="00A53994" w:rsidTr="00F4438D">
                    <w:trPr>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3- Mal ve Hizmet Alımları</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38.479</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20"/>
                            <w:szCs w:val="20"/>
                            <w:lang w:eastAsia="tr-TR"/>
                          </w:rPr>
                          <w:t>46.216</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20"/>
                            <w:szCs w:val="20"/>
                            <w:lang w:eastAsia="tr-TR"/>
                          </w:rPr>
                          <w:t>20,1</w:t>
                        </w:r>
                      </w:p>
                    </w:tc>
                    <w:tc>
                      <w:tcPr>
                        <w:tcW w:w="20" w:type="dxa"/>
                        <w:tcBorders>
                          <w:top w:val="nil"/>
                          <w:left w:val="nil"/>
                          <w:bottom w:val="nil"/>
                          <w:right w:val="nil"/>
                        </w:tcBorders>
                        <w:vAlign w:val="center"/>
                        <w:hideMark/>
                      </w:tcPr>
                      <w:p w:rsidR="00A53994" w:rsidRPr="00A53994" w:rsidRDefault="00A53994" w:rsidP="00A53994">
                        <w:pPr>
                          <w:spacing w:after="200" w:line="253" w:lineRule="atLeast"/>
                          <w:rPr>
                            <w:rFonts w:ascii="Calibri" w:eastAsia="Times New Roman" w:hAnsi="Calibri" w:cs="Arial"/>
                            <w:lang w:eastAsia="tr-TR"/>
                          </w:rPr>
                        </w:pPr>
                        <w:r w:rsidRPr="00A53994">
                          <w:rPr>
                            <w:rFonts w:ascii="Calibri" w:eastAsia="Times New Roman" w:hAnsi="Calibri" w:cs="Arial"/>
                            <w:lang w:eastAsia="tr-TR"/>
                          </w:rPr>
                          <w:t> </w:t>
                        </w:r>
                      </w:p>
                    </w:tc>
                  </w:tr>
                  <w:tr w:rsidR="00A53994" w:rsidRPr="00A53994" w:rsidTr="00F4438D">
                    <w:trPr>
                      <w:trHeight w:val="270"/>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4</w:t>
                        </w:r>
                        <w:r w:rsidRPr="00A53994">
                          <w:rPr>
                            <w:rFonts w:ascii="Times New Roman" w:eastAsia="Times New Roman" w:hAnsi="Times New Roman" w:cs="Times New Roman"/>
                            <w:sz w:val="20"/>
                            <w:szCs w:val="20"/>
                            <w:lang w:eastAsia="tr-TR"/>
                          </w:rPr>
                          <w:t>-</w:t>
                        </w:r>
                        <w:r w:rsidRPr="00A53994">
                          <w:rPr>
                            <w:rFonts w:ascii="Times New Roman" w:eastAsia="Times New Roman" w:hAnsi="Times New Roman" w:cs="Times New Roman"/>
                            <w:b/>
                            <w:bCs/>
                            <w:sz w:val="20"/>
                            <w:szCs w:val="20"/>
                            <w:lang w:eastAsia="tr-TR"/>
                          </w:rPr>
                          <w:t>Faiz Giderleri</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1.949</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20"/>
                            <w:szCs w:val="20"/>
                            <w:lang w:eastAsia="tr-TR"/>
                          </w:rPr>
                          <w:t>2.896</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20"/>
                            <w:szCs w:val="20"/>
                            <w:lang w:eastAsia="tr-TR"/>
                          </w:rPr>
                          <w:t>48,6</w:t>
                        </w:r>
                      </w:p>
                    </w:tc>
                    <w:tc>
                      <w:tcPr>
                        <w:tcW w:w="20" w:type="dxa"/>
                        <w:tcBorders>
                          <w:top w:val="nil"/>
                          <w:left w:val="nil"/>
                          <w:bottom w:val="nil"/>
                          <w:right w:val="nil"/>
                        </w:tcBorders>
                        <w:vAlign w:val="center"/>
                        <w:hideMark/>
                      </w:tcPr>
                      <w:p w:rsidR="00A53994" w:rsidRPr="00A53994" w:rsidRDefault="00A53994" w:rsidP="00A53994">
                        <w:pPr>
                          <w:spacing w:after="200" w:line="253" w:lineRule="atLeast"/>
                          <w:rPr>
                            <w:rFonts w:ascii="Calibri" w:eastAsia="Times New Roman" w:hAnsi="Calibri" w:cs="Arial"/>
                            <w:lang w:eastAsia="tr-TR"/>
                          </w:rPr>
                        </w:pPr>
                        <w:r w:rsidRPr="00A53994">
                          <w:rPr>
                            <w:rFonts w:ascii="Calibri" w:eastAsia="Times New Roman" w:hAnsi="Calibri" w:cs="Arial"/>
                            <w:lang w:eastAsia="tr-TR"/>
                          </w:rPr>
                          <w:t> </w:t>
                        </w:r>
                      </w:p>
                    </w:tc>
                  </w:tr>
                  <w:tr w:rsidR="00A53994" w:rsidRPr="00A53994" w:rsidTr="00F4438D">
                    <w:trPr>
                      <w:trHeight w:val="270"/>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5</w:t>
                        </w:r>
                        <w:r w:rsidRPr="00A53994">
                          <w:rPr>
                            <w:rFonts w:ascii="Times New Roman" w:eastAsia="Times New Roman" w:hAnsi="Times New Roman" w:cs="Times New Roman"/>
                            <w:sz w:val="20"/>
                            <w:szCs w:val="20"/>
                            <w:lang w:eastAsia="tr-TR"/>
                          </w:rPr>
                          <w:t>-</w:t>
                        </w:r>
                        <w:r w:rsidRPr="00A53994">
                          <w:rPr>
                            <w:rFonts w:ascii="Times New Roman" w:eastAsia="Times New Roman" w:hAnsi="Times New Roman" w:cs="Times New Roman"/>
                            <w:b/>
                            <w:bCs/>
                            <w:sz w:val="20"/>
                            <w:szCs w:val="20"/>
                            <w:lang w:eastAsia="tr-TR"/>
                          </w:rPr>
                          <w:t>Cari Transferler</w:t>
                        </w:r>
                      </w:p>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i/>
                            <w:iCs/>
                            <w:sz w:val="20"/>
                            <w:szCs w:val="20"/>
                            <w:lang w:eastAsia="tr-TR"/>
                          </w:rPr>
                          <w:t>(</w:t>
                        </w:r>
                        <w:proofErr w:type="gramStart"/>
                        <w:r w:rsidRPr="00A53994">
                          <w:rPr>
                            <w:rFonts w:ascii="Times New Roman" w:eastAsia="Times New Roman" w:hAnsi="Times New Roman" w:cs="Times New Roman"/>
                            <w:i/>
                            <w:iCs/>
                            <w:sz w:val="20"/>
                            <w:szCs w:val="20"/>
                            <w:lang w:eastAsia="tr-TR"/>
                          </w:rPr>
                          <w:t>Kar</w:t>
                        </w:r>
                        <w:proofErr w:type="gramEnd"/>
                        <w:r w:rsidRPr="00A53994">
                          <w:rPr>
                            <w:rFonts w:ascii="Times New Roman" w:eastAsia="Times New Roman" w:hAnsi="Times New Roman" w:cs="Times New Roman"/>
                            <w:i/>
                            <w:iCs/>
                            <w:sz w:val="20"/>
                            <w:szCs w:val="20"/>
                            <w:lang w:eastAsia="tr-TR"/>
                          </w:rPr>
                          <w:t xml:space="preserve"> amacı gütmeyen kuruluşlara/hane halkına yapılan transferler, gelirlerden ayrılan paylar vb.)</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3.721</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20"/>
                            <w:szCs w:val="20"/>
                            <w:lang w:eastAsia="tr-TR"/>
                          </w:rPr>
                          <w:t>4.249</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20"/>
                            <w:szCs w:val="20"/>
                            <w:lang w:eastAsia="tr-TR"/>
                          </w:rPr>
                          <w:t>14,2</w:t>
                        </w:r>
                      </w:p>
                    </w:tc>
                    <w:tc>
                      <w:tcPr>
                        <w:tcW w:w="20" w:type="dxa"/>
                        <w:tcBorders>
                          <w:top w:val="nil"/>
                          <w:left w:val="nil"/>
                          <w:bottom w:val="nil"/>
                          <w:right w:val="nil"/>
                        </w:tcBorders>
                        <w:vAlign w:val="center"/>
                        <w:hideMark/>
                      </w:tcPr>
                      <w:p w:rsidR="00A53994" w:rsidRPr="00A53994" w:rsidRDefault="00A53994" w:rsidP="00A53994">
                        <w:pPr>
                          <w:spacing w:after="200" w:line="253" w:lineRule="atLeast"/>
                          <w:rPr>
                            <w:rFonts w:ascii="Calibri" w:eastAsia="Times New Roman" w:hAnsi="Calibri" w:cs="Arial"/>
                            <w:lang w:eastAsia="tr-TR"/>
                          </w:rPr>
                        </w:pPr>
                        <w:r w:rsidRPr="00A53994">
                          <w:rPr>
                            <w:rFonts w:ascii="Calibri" w:eastAsia="Times New Roman" w:hAnsi="Calibri" w:cs="Arial"/>
                            <w:lang w:eastAsia="tr-TR"/>
                          </w:rPr>
                          <w:t> </w:t>
                        </w:r>
                      </w:p>
                    </w:tc>
                  </w:tr>
                  <w:tr w:rsidR="00A53994" w:rsidRPr="00A53994" w:rsidTr="00F4438D">
                    <w:trPr>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6-Sermaye (</w:t>
                        </w:r>
                        <w:proofErr w:type="gramStart"/>
                        <w:r w:rsidRPr="00A53994">
                          <w:rPr>
                            <w:rFonts w:ascii="Times New Roman" w:eastAsia="Times New Roman" w:hAnsi="Times New Roman" w:cs="Times New Roman"/>
                            <w:b/>
                            <w:bCs/>
                            <w:sz w:val="20"/>
                            <w:szCs w:val="20"/>
                            <w:lang w:eastAsia="tr-TR"/>
                          </w:rPr>
                          <w:t>Yatırım)  Giderleri</w:t>
                        </w:r>
                        <w:proofErr w:type="gramEnd"/>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29.635</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20"/>
                            <w:szCs w:val="20"/>
                            <w:lang w:eastAsia="tr-TR"/>
                          </w:rPr>
                          <w:t>40.858</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20"/>
                            <w:szCs w:val="20"/>
                            <w:lang w:eastAsia="tr-TR"/>
                          </w:rPr>
                          <w:t>37,9</w:t>
                        </w:r>
                      </w:p>
                    </w:tc>
                    <w:tc>
                      <w:tcPr>
                        <w:tcW w:w="20" w:type="dxa"/>
                        <w:tcBorders>
                          <w:top w:val="nil"/>
                          <w:left w:val="nil"/>
                          <w:bottom w:val="nil"/>
                          <w:right w:val="nil"/>
                        </w:tcBorders>
                        <w:vAlign w:val="center"/>
                        <w:hideMark/>
                      </w:tcPr>
                      <w:p w:rsidR="00A53994" w:rsidRPr="00A53994" w:rsidRDefault="00A53994" w:rsidP="00A53994">
                        <w:pPr>
                          <w:spacing w:after="200" w:line="253" w:lineRule="atLeast"/>
                          <w:rPr>
                            <w:rFonts w:ascii="Calibri" w:eastAsia="Times New Roman" w:hAnsi="Calibri" w:cs="Arial"/>
                            <w:lang w:eastAsia="tr-TR"/>
                          </w:rPr>
                        </w:pPr>
                        <w:r w:rsidRPr="00A53994">
                          <w:rPr>
                            <w:rFonts w:ascii="Calibri" w:eastAsia="Times New Roman" w:hAnsi="Calibri" w:cs="Arial"/>
                            <w:lang w:eastAsia="tr-TR"/>
                          </w:rPr>
                          <w:t> </w:t>
                        </w:r>
                      </w:p>
                    </w:tc>
                  </w:tr>
                  <w:tr w:rsidR="00A53994" w:rsidRPr="00A53994" w:rsidTr="00F4438D">
                    <w:trPr>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7</w:t>
                        </w:r>
                        <w:r w:rsidRPr="00A53994">
                          <w:rPr>
                            <w:rFonts w:ascii="Times New Roman" w:eastAsia="Times New Roman" w:hAnsi="Times New Roman" w:cs="Times New Roman"/>
                            <w:sz w:val="20"/>
                            <w:szCs w:val="20"/>
                            <w:lang w:eastAsia="tr-TR"/>
                          </w:rPr>
                          <w:t>-</w:t>
                        </w:r>
                        <w:r w:rsidRPr="00A53994">
                          <w:rPr>
                            <w:rFonts w:ascii="Times New Roman" w:eastAsia="Times New Roman" w:hAnsi="Times New Roman" w:cs="Times New Roman"/>
                            <w:b/>
                            <w:bCs/>
                            <w:sz w:val="20"/>
                            <w:szCs w:val="20"/>
                            <w:lang w:eastAsia="tr-TR"/>
                          </w:rPr>
                          <w:t>Sermaye Transferleri</w:t>
                        </w:r>
                      </w:p>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w:t>
                        </w:r>
                        <w:r w:rsidRPr="00A53994">
                          <w:rPr>
                            <w:rFonts w:ascii="Times New Roman" w:eastAsia="Times New Roman" w:hAnsi="Times New Roman" w:cs="Times New Roman"/>
                            <w:i/>
                            <w:iCs/>
                            <w:sz w:val="20"/>
                            <w:szCs w:val="20"/>
                            <w:lang w:eastAsia="tr-TR"/>
                          </w:rPr>
                          <w:t>Bağlı idarelere/kamu ortaklıklarına vb. yapılanlar)</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0.933</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20"/>
                            <w:szCs w:val="20"/>
                            <w:lang w:eastAsia="tr-TR"/>
                          </w:rPr>
                          <w:t>1.121</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20"/>
                            <w:szCs w:val="20"/>
                            <w:lang w:eastAsia="tr-TR"/>
                          </w:rPr>
                          <w:t> </w:t>
                        </w:r>
                      </w:p>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20"/>
                            <w:szCs w:val="20"/>
                            <w:lang w:eastAsia="tr-TR"/>
                          </w:rPr>
                          <w:t>20,1</w:t>
                        </w:r>
                      </w:p>
                    </w:tc>
                    <w:tc>
                      <w:tcPr>
                        <w:tcW w:w="20" w:type="dxa"/>
                        <w:tcBorders>
                          <w:top w:val="nil"/>
                          <w:left w:val="nil"/>
                          <w:bottom w:val="nil"/>
                          <w:right w:val="nil"/>
                        </w:tcBorders>
                        <w:vAlign w:val="center"/>
                        <w:hideMark/>
                      </w:tcPr>
                      <w:p w:rsidR="00A53994" w:rsidRPr="00A53994" w:rsidRDefault="00A53994" w:rsidP="00A53994">
                        <w:pPr>
                          <w:spacing w:after="200" w:line="253" w:lineRule="atLeast"/>
                          <w:rPr>
                            <w:rFonts w:ascii="Calibri" w:eastAsia="Times New Roman" w:hAnsi="Calibri" w:cs="Arial"/>
                            <w:lang w:eastAsia="tr-TR"/>
                          </w:rPr>
                        </w:pPr>
                        <w:r w:rsidRPr="00A53994">
                          <w:rPr>
                            <w:rFonts w:ascii="Calibri" w:eastAsia="Times New Roman" w:hAnsi="Calibri" w:cs="Arial"/>
                            <w:lang w:eastAsia="tr-TR"/>
                          </w:rPr>
                          <w:t> </w:t>
                        </w:r>
                      </w:p>
                    </w:tc>
                  </w:tr>
                  <w:tr w:rsidR="00A53994" w:rsidRPr="00A53994" w:rsidTr="00F4438D">
                    <w:trPr>
                      <w:trHeight w:val="390"/>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8-Borç Verme</w:t>
                        </w:r>
                      </w:p>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w:t>
                        </w:r>
                        <w:r w:rsidRPr="00A53994">
                          <w:rPr>
                            <w:rFonts w:ascii="Times New Roman" w:eastAsia="Times New Roman" w:hAnsi="Times New Roman" w:cs="Times New Roman"/>
                            <w:i/>
                            <w:iCs/>
                            <w:sz w:val="20"/>
                            <w:szCs w:val="20"/>
                            <w:lang w:eastAsia="tr-TR"/>
                          </w:rPr>
                          <w:t>Bağlı idarelere/kamu kurum ve kuruluşlarına/kamu ortaklıklarına vb. yapılanlar)</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2.289</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20"/>
                            <w:szCs w:val="20"/>
                            <w:lang w:eastAsia="tr-TR"/>
                          </w:rPr>
                          <w:t>1.712</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20"/>
                            <w:szCs w:val="20"/>
                            <w:lang w:eastAsia="tr-TR"/>
                          </w:rPr>
                          <w:t> </w:t>
                        </w:r>
                      </w:p>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20"/>
                            <w:szCs w:val="20"/>
                            <w:lang w:eastAsia="tr-TR"/>
                          </w:rPr>
                          <w:t> </w:t>
                        </w:r>
                      </w:p>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20"/>
                            <w:szCs w:val="20"/>
                            <w:lang w:eastAsia="tr-TR"/>
                          </w:rPr>
                          <w:t>-25,2</w:t>
                        </w:r>
                      </w:p>
                    </w:tc>
                    <w:tc>
                      <w:tcPr>
                        <w:tcW w:w="20" w:type="dxa"/>
                        <w:tcBorders>
                          <w:top w:val="nil"/>
                          <w:left w:val="nil"/>
                          <w:bottom w:val="nil"/>
                          <w:right w:val="nil"/>
                        </w:tcBorders>
                        <w:vAlign w:val="center"/>
                        <w:hideMark/>
                      </w:tcPr>
                      <w:p w:rsidR="00A53994" w:rsidRPr="00A53994" w:rsidRDefault="00A53994" w:rsidP="00A53994">
                        <w:pPr>
                          <w:spacing w:after="200" w:line="253" w:lineRule="atLeast"/>
                          <w:rPr>
                            <w:rFonts w:ascii="Calibri" w:eastAsia="Times New Roman" w:hAnsi="Calibri" w:cs="Arial"/>
                            <w:lang w:eastAsia="tr-TR"/>
                          </w:rPr>
                        </w:pPr>
                        <w:r w:rsidRPr="00A53994">
                          <w:rPr>
                            <w:rFonts w:ascii="Calibri" w:eastAsia="Times New Roman" w:hAnsi="Calibri" w:cs="Arial"/>
                            <w:lang w:eastAsia="tr-TR"/>
                          </w:rPr>
                          <w:t> </w:t>
                        </w:r>
                      </w:p>
                    </w:tc>
                  </w:tr>
                  <w:tr w:rsidR="00A53994" w:rsidRPr="00A53994" w:rsidTr="00F4438D">
                    <w:trPr>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GİDER TOPLAMI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91.269</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b/>
                            <w:bCs/>
                            <w:sz w:val="20"/>
                            <w:szCs w:val="20"/>
                            <w:lang w:eastAsia="tr-TR"/>
                          </w:rPr>
                          <w:t>112.048</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b/>
                            <w:bCs/>
                            <w:sz w:val="20"/>
                            <w:szCs w:val="20"/>
                            <w:lang w:eastAsia="tr-TR"/>
                          </w:rPr>
                          <w:t>22,8</w:t>
                        </w:r>
                      </w:p>
                    </w:tc>
                    <w:tc>
                      <w:tcPr>
                        <w:tcW w:w="20" w:type="dxa"/>
                        <w:tcBorders>
                          <w:top w:val="nil"/>
                          <w:left w:val="nil"/>
                          <w:bottom w:val="nil"/>
                          <w:right w:val="nil"/>
                        </w:tcBorders>
                        <w:vAlign w:val="center"/>
                        <w:hideMark/>
                      </w:tcPr>
                      <w:p w:rsidR="00A53994" w:rsidRPr="00A53994" w:rsidRDefault="00A53994" w:rsidP="00A53994">
                        <w:pPr>
                          <w:spacing w:after="200" w:line="253" w:lineRule="atLeast"/>
                          <w:rPr>
                            <w:rFonts w:ascii="Calibri" w:eastAsia="Times New Roman" w:hAnsi="Calibri" w:cs="Arial"/>
                            <w:lang w:eastAsia="tr-TR"/>
                          </w:rPr>
                        </w:pPr>
                        <w:r w:rsidRPr="00A53994">
                          <w:rPr>
                            <w:rFonts w:ascii="Calibri" w:eastAsia="Times New Roman" w:hAnsi="Calibri" w:cs="Arial"/>
                            <w:lang w:eastAsia="tr-TR"/>
                          </w:rPr>
                          <w:t> </w:t>
                        </w:r>
                      </w:p>
                    </w:tc>
                  </w:tr>
                </w:tbl>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18"/>
                      <w:szCs w:val="18"/>
                      <w:lang w:eastAsia="tr-TR"/>
                    </w:rPr>
                    <w:t>              Not: Küsuratlar yuvarlatılmıştır.</w:t>
                  </w:r>
                </w:p>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              Kaynak: </w:t>
                  </w:r>
                  <w:r w:rsidRPr="00A53994">
                    <w:rPr>
                      <w:rFonts w:ascii="Times New Roman" w:eastAsia="Times New Roman" w:hAnsi="Times New Roman" w:cs="Times New Roman"/>
                      <w:sz w:val="18"/>
                      <w:szCs w:val="18"/>
                      <w:lang w:eastAsia="tr-TR"/>
                    </w:rPr>
                    <w:t xml:space="preserve">Maliye Bakanlığı, (2018) </w:t>
                  </w:r>
                  <w:proofErr w:type="gramStart"/>
                  <w:r w:rsidRPr="00A53994">
                    <w:rPr>
                      <w:rFonts w:ascii="Times New Roman" w:eastAsia="Times New Roman" w:hAnsi="Times New Roman" w:cs="Times New Roman"/>
                      <w:sz w:val="18"/>
                      <w:szCs w:val="18"/>
                      <w:lang w:eastAsia="tr-TR"/>
                    </w:rPr>
                    <w:t>“ 2017</w:t>
                  </w:r>
                  <w:proofErr w:type="gramEnd"/>
                  <w:r w:rsidRPr="00A53994">
                    <w:rPr>
                      <w:rFonts w:ascii="Times New Roman" w:eastAsia="Times New Roman" w:hAnsi="Times New Roman" w:cs="Times New Roman"/>
                      <w:sz w:val="18"/>
                      <w:szCs w:val="18"/>
                      <w:lang w:eastAsia="tr-TR"/>
                    </w:rPr>
                    <w:t xml:space="preserve"> Yılı Genel Faaliyet Raporu”,</w:t>
                  </w:r>
                </w:p>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18"/>
                      <w:szCs w:val="18"/>
                      <w:lang w:eastAsia="tr-TR"/>
                    </w:rPr>
                    <w:t> </w:t>
                  </w: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 xml:space="preserve">2017 yılında belediye bütçe giderleri, bir önceki yıla göre, </w:t>
                  </w:r>
                  <w:proofErr w:type="gramStart"/>
                  <w:r w:rsidRPr="00A53994">
                    <w:rPr>
                      <w:rFonts w:ascii="Times New Roman" w:eastAsia="Times New Roman" w:hAnsi="Times New Roman" w:cs="Times New Roman"/>
                      <w:sz w:val="24"/>
                      <w:szCs w:val="24"/>
                      <w:lang w:eastAsia="tr-TR"/>
                    </w:rPr>
                    <w:t>( %</w:t>
                  </w:r>
                  <w:proofErr w:type="gramEnd"/>
                  <w:r w:rsidRPr="00A53994">
                    <w:rPr>
                      <w:rFonts w:ascii="Times New Roman" w:eastAsia="Times New Roman" w:hAnsi="Times New Roman" w:cs="Times New Roman"/>
                      <w:sz w:val="24"/>
                      <w:szCs w:val="24"/>
                      <w:lang w:eastAsia="tr-TR"/>
                    </w:rPr>
                    <w:t xml:space="preserve"> 22,8 ) oranında artışla, 112 milyar TL olarak gerçekleşmiştir. Bütçe giderlerinde ciddi oranda bir artış görülmektedir. Zira bütçe giderlerindeki artış oranı, TÜİK tarafından açıklanan 2003=100 Temel Yıllı Tüketici Fiyatları Endeksine göre belirlenmiş olan 2017 yılı Aralık ayındaki bir önceki yılın aynı ayına göre değişimi </w:t>
                  </w:r>
                  <w:proofErr w:type="gramStart"/>
                  <w:r w:rsidRPr="00A53994">
                    <w:rPr>
                      <w:rFonts w:ascii="Times New Roman" w:eastAsia="Times New Roman" w:hAnsi="Times New Roman" w:cs="Times New Roman"/>
                      <w:sz w:val="24"/>
                      <w:szCs w:val="24"/>
                      <w:lang w:eastAsia="tr-TR"/>
                    </w:rPr>
                    <w:t>olan  (</w:t>
                  </w:r>
                  <w:proofErr w:type="gramEnd"/>
                  <w:r w:rsidRPr="00A53994">
                    <w:rPr>
                      <w:rFonts w:ascii="Times New Roman" w:eastAsia="Times New Roman" w:hAnsi="Times New Roman" w:cs="Times New Roman"/>
                      <w:sz w:val="24"/>
                      <w:szCs w:val="24"/>
                      <w:lang w:eastAsia="tr-TR"/>
                    </w:rPr>
                    <w:t>% 11,9)  oranın iki katına yaklaşmıştır.</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 xml:space="preserve">Ekonomik sınıflandırmaya göre 2017 yılı belediye bütçe giderleri içinde en büyük payı </w:t>
                  </w:r>
                  <w:proofErr w:type="gramStart"/>
                  <w:r w:rsidRPr="00A53994">
                    <w:rPr>
                      <w:rFonts w:ascii="Times New Roman" w:eastAsia="Times New Roman" w:hAnsi="Times New Roman" w:cs="Times New Roman"/>
                      <w:sz w:val="24"/>
                      <w:szCs w:val="24"/>
                      <w:lang w:eastAsia="tr-TR"/>
                    </w:rPr>
                    <w:t>( %</w:t>
                  </w:r>
                  <w:proofErr w:type="gramEnd"/>
                  <w:r w:rsidRPr="00A53994">
                    <w:rPr>
                      <w:rFonts w:ascii="Times New Roman" w:eastAsia="Times New Roman" w:hAnsi="Times New Roman" w:cs="Times New Roman"/>
                      <w:sz w:val="24"/>
                      <w:szCs w:val="24"/>
                      <w:lang w:eastAsia="tr-TR"/>
                    </w:rPr>
                    <w:t>41,2) oranı ile mal ve hizmet alımları oluşturmaktadır.</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Mal ve hizmet alım giderlerini %36,4 oranı ile yatırım giderleri, %11,5 oranı ile personel giderleri izlemektedir.</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 xml:space="preserve">2017 yılı belediye giderlerinde bir önceli yıla ait giderlerine göre en fazla değişimler: Yüzde olarak; (48,6) ile faiz ödemeleri, (37,9) oranı ile sermaye giderleri, (25,2) oranı ile borç verme, (20,1) de mal ve hizmet alımları ile sermaye transferleri kalemlerinde gerçekleşmiştir. </w:t>
                  </w:r>
                  <w:r w:rsidRPr="00A53994">
                    <w:rPr>
                      <w:rFonts w:ascii="Times New Roman" w:eastAsia="Times New Roman" w:hAnsi="Times New Roman" w:cs="Times New Roman"/>
                      <w:sz w:val="24"/>
                      <w:szCs w:val="24"/>
                      <w:lang w:eastAsia="tr-TR"/>
                    </w:rPr>
                    <w:lastRenderedPageBreak/>
                    <w:t>Değişim oranının (</w:t>
                  </w:r>
                  <w:proofErr w:type="gramStart"/>
                  <w:r w:rsidRPr="00A53994">
                    <w:rPr>
                      <w:rFonts w:ascii="Times New Roman" w:eastAsia="Times New Roman" w:hAnsi="Times New Roman" w:cs="Times New Roman"/>
                      <w:sz w:val="24"/>
                      <w:szCs w:val="24"/>
                      <w:lang w:eastAsia="tr-TR"/>
                    </w:rPr>
                    <w:t>%  48</w:t>
                  </w:r>
                  <w:proofErr w:type="gramEnd"/>
                  <w:r w:rsidRPr="00A53994">
                    <w:rPr>
                      <w:rFonts w:ascii="Times New Roman" w:eastAsia="Times New Roman" w:hAnsi="Times New Roman" w:cs="Times New Roman"/>
                      <w:sz w:val="24"/>
                      <w:szCs w:val="24"/>
                      <w:lang w:eastAsia="tr-TR"/>
                    </w:rPr>
                    <w:t>,6) yüksekliği ile de dikkat çekmekte olan ve 3 milyar TL seviyesine ulaşan belediyelerin faiz giderleri üzerinde özellikle durulması/incelenmesinde yarar olduğu görülmektedir.</w:t>
                  </w:r>
                </w:p>
                <w:p w:rsidR="00F4438D"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Belediyelerin fonksiyonel sınıflandırmaya göre giderleri Tablo 2’de gösterilmiştir.</w:t>
                  </w:r>
                </w:p>
                <w:p w:rsidR="00F4438D" w:rsidRPr="00A53994" w:rsidRDefault="00F4438D" w:rsidP="00A53994">
                  <w:pPr>
                    <w:spacing w:after="0" w:line="253" w:lineRule="atLeast"/>
                    <w:ind w:firstLine="851"/>
                    <w:jc w:val="both"/>
                    <w:rPr>
                      <w:rFonts w:ascii="Calibri" w:eastAsia="Times New Roman" w:hAnsi="Calibri" w:cs="Arial"/>
                      <w:lang w:eastAsia="tr-TR"/>
                    </w:rPr>
                  </w:pPr>
                </w:p>
                <w:p w:rsidR="00A53994" w:rsidRPr="00A53994" w:rsidRDefault="00A53994" w:rsidP="00F4438D">
                  <w:pPr>
                    <w:spacing w:after="0" w:line="253" w:lineRule="atLeast"/>
                    <w:rPr>
                      <w:rFonts w:ascii="Calibri" w:eastAsia="Times New Roman" w:hAnsi="Calibri" w:cs="Arial"/>
                      <w:lang w:eastAsia="tr-TR"/>
                    </w:rPr>
                  </w:pPr>
                  <w:r w:rsidRPr="00A53994">
                    <w:rPr>
                      <w:rFonts w:ascii="Times New Roman" w:eastAsia="Times New Roman" w:hAnsi="Times New Roman" w:cs="Times New Roman"/>
                      <w:b/>
                      <w:bCs/>
                      <w:sz w:val="24"/>
                      <w:szCs w:val="24"/>
                      <w:lang w:eastAsia="tr-TR"/>
                    </w:rPr>
                    <w:t>Tablo 2: Belediyelerin Fonksiyonel Sınıflandırmaya Göre 2017 Yılı Giderleri </w:t>
                  </w:r>
                  <w:r w:rsidR="00F4438D">
                    <w:rPr>
                      <w:rFonts w:ascii="Times New Roman" w:eastAsia="Times New Roman" w:hAnsi="Times New Roman" w:cs="Times New Roman"/>
                      <w:b/>
                      <w:bCs/>
                      <w:sz w:val="24"/>
                      <w:szCs w:val="24"/>
                      <w:lang w:eastAsia="tr-TR"/>
                    </w:rPr>
                    <w:br/>
                  </w:r>
                  <w:r w:rsidRPr="00A53994">
                    <w:rPr>
                      <w:rFonts w:ascii="Times New Roman" w:eastAsia="Times New Roman" w:hAnsi="Times New Roman" w:cs="Times New Roman"/>
                      <w:sz w:val="18"/>
                      <w:szCs w:val="18"/>
                      <w:lang w:eastAsia="tr-TR"/>
                    </w:rPr>
                    <w:t>(Milyon TL)                                                                                                                                                               </w:t>
                  </w:r>
                </w:p>
                <w:tbl>
                  <w:tblPr>
                    <w:tblpPr w:leftFromText="141" w:rightFromText="141" w:vertAnchor="text"/>
                    <w:tblW w:w="0" w:type="auto"/>
                    <w:tblCellMar>
                      <w:left w:w="0" w:type="dxa"/>
                      <w:right w:w="0" w:type="dxa"/>
                    </w:tblCellMar>
                    <w:tblLook w:val="04A0" w:firstRow="1" w:lastRow="0" w:firstColumn="1" w:lastColumn="0" w:noHBand="0" w:noVBand="1"/>
                  </w:tblPr>
                  <w:tblGrid>
                    <w:gridCol w:w="3283"/>
                    <w:gridCol w:w="1840"/>
                    <w:gridCol w:w="1134"/>
                  </w:tblGrid>
                  <w:tr w:rsidR="00A53994" w:rsidRPr="00A53994" w:rsidTr="00A53994">
                    <w:trPr>
                      <w:trHeight w:val="242"/>
                    </w:trPr>
                    <w:tc>
                      <w:tcPr>
                        <w:tcW w:w="328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Hizmetin Türü</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Miktarı</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Bütçe Payları (%)</w:t>
                        </w:r>
                      </w:p>
                    </w:tc>
                  </w:tr>
                  <w:tr w:rsidR="00A53994" w:rsidRPr="00A53994" w:rsidTr="00A53994">
                    <w:trPr>
                      <w:trHeight w:val="242"/>
                    </w:trPr>
                    <w:tc>
                      <w:tcPr>
                        <w:tcW w:w="328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Genel Kamu Hizmetleri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 32.089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28,6</w:t>
                        </w:r>
                      </w:p>
                    </w:tc>
                  </w:tr>
                  <w:tr w:rsidR="00A53994" w:rsidRPr="00A53994" w:rsidTr="00A53994">
                    <w:trPr>
                      <w:trHeight w:val="242"/>
                    </w:trPr>
                    <w:tc>
                      <w:tcPr>
                        <w:tcW w:w="328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Savunma Hizmetleri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33,4</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w:t>
                        </w:r>
                      </w:p>
                    </w:tc>
                  </w:tr>
                  <w:tr w:rsidR="00A53994" w:rsidRPr="00A53994" w:rsidTr="00A53994">
                    <w:trPr>
                      <w:trHeight w:val="242"/>
                    </w:trPr>
                    <w:tc>
                      <w:tcPr>
                        <w:tcW w:w="328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Kamu Düzeni ve Güvenlik Hizmetleri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4.434</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4</w:t>
                        </w:r>
                      </w:p>
                    </w:tc>
                  </w:tr>
                  <w:tr w:rsidR="00A53994" w:rsidRPr="00A53994" w:rsidTr="00A53994">
                    <w:trPr>
                      <w:trHeight w:val="242"/>
                    </w:trPr>
                    <w:tc>
                      <w:tcPr>
                        <w:tcW w:w="328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Ekonomik İşler ve Hizmetler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26.455</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23,6</w:t>
                        </w:r>
                      </w:p>
                    </w:tc>
                  </w:tr>
                  <w:tr w:rsidR="00A53994" w:rsidRPr="00A53994" w:rsidTr="00A53994">
                    <w:trPr>
                      <w:trHeight w:val="242"/>
                    </w:trPr>
                    <w:tc>
                      <w:tcPr>
                        <w:tcW w:w="328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Çevre Koruma Hizmetleri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12.004</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10,7</w:t>
                        </w:r>
                      </w:p>
                    </w:tc>
                  </w:tr>
                  <w:tr w:rsidR="00A53994" w:rsidRPr="00A53994" w:rsidTr="00A53994">
                    <w:trPr>
                      <w:trHeight w:val="242"/>
                    </w:trPr>
                    <w:tc>
                      <w:tcPr>
                        <w:tcW w:w="328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330" w:lineRule="atLeast"/>
                          <w:jc w:val="both"/>
                          <w:rPr>
                            <w:rFonts w:ascii="Calibri" w:eastAsia="Times New Roman" w:hAnsi="Calibri" w:cs="Arial"/>
                            <w:lang w:eastAsia="tr-TR"/>
                          </w:rPr>
                        </w:pPr>
                        <w:proofErr w:type="gramStart"/>
                        <w:r w:rsidRPr="00A53994">
                          <w:rPr>
                            <w:rFonts w:ascii="Times New Roman" w:eastAsia="Times New Roman" w:hAnsi="Times New Roman" w:cs="Times New Roman"/>
                            <w:b/>
                            <w:bCs/>
                            <w:sz w:val="20"/>
                            <w:szCs w:val="20"/>
                            <w:lang w:eastAsia="tr-TR"/>
                          </w:rPr>
                          <w:t>İskan</w:t>
                        </w:r>
                        <w:proofErr w:type="gramEnd"/>
                        <w:r w:rsidRPr="00A53994">
                          <w:rPr>
                            <w:rFonts w:ascii="Times New Roman" w:eastAsia="Times New Roman" w:hAnsi="Times New Roman" w:cs="Times New Roman"/>
                            <w:b/>
                            <w:bCs/>
                            <w:sz w:val="20"/>
                            <w:szCs w:val="20"/>
                            <w:lang w:eastAsia="tr-TR"/>
                          </w:rPr>
                          <w:t xml:space="preserve"> ve Toplum Refahı Hizmetleri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24.795</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22,1</w:t>
                        </w:r>
                      </w:p>
                    </w:tc>
                  </w:tr>
                  <w:tr w:rsidR="00A53994" w:rsidRPr="00A53994" w:rsidTr="00A53994">
                    <w:trPr>
                      <w:trHeight w:val="242"/>
                    </w:trPr>
                    <w:tc>
                      <w:tcPr>
                        <w:tcW w:w="328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Sağlık Hizmetleri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1.237</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1,1</w:t>
                        </w:r>
                      </w:p>
                    </w:tc>
                  </w:tr>
                  <w:tr w:rsidR="00A53994" w:rsidRPr="00A53994" w:rsidTr="00A53994">
                    <w:trPr>
                      <w:trHeight w:val="242"/>
                    </w:trPr>
                    <w:tc>
                      <w:tcPr>
                        <w:tcW w:w="328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Dinlenme Kültür ve Din Hizmetleri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8.699</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7,8</w:t>
                        </w:r>
                      </w:p>
                    </w:tc>
                  </w:tr>
                  <w:tr w:rsidR="00A53994" w:rsidRPr="00A53994" w:rsidTr="00A53994">
                    <w:trPr>
                      <w:trHeight w:val="242"/>
                    </w:trPr>
                    <w:tc>
                      <w:tcPr>
                        <w:tcW w:w="328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Eğitim Hizmetleri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397</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w:t>
                        </w:r>
                      </w:p>
                    </w:tc>
                  </w:tr>
                  <w:tr w:rsidR="00A53994" w:rsidRPr="00A53994" w:rsidTr="00A53994">
                    <w:trPr>
                      <w:trHeight w:val="242"/>
                    </w:trPr>
                    <w:tc>
                      <w:tcPr>
                        <w:tcW w:w="328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 xml:space="preserve">Sosyal Güvenlik ve Sosyal Yardım </w:t>
                        </w:r>
                        <w:proofErr w:type="spellStart"/>
                        <w:r w:rsidRPr="00A53994">
                          <w:rPr>
                            <w:rFonts w:ascii="Times New Roman" w:eastAsia="Times New Roman" w:hAnsi="Times New Roman" w:cs="Times New Roman"/>
                            <w:b/>
                            <w:bCs/>
                            <w:sz w:val="20"/>
                            <w:szCs w:val="20"/>
                            <w:lang w:eastAsia="tr-TR"/>
                          </w:rPr>
                          <w:t>Hiz</w:t>
                        </w:r>
                        <w:proofErr w:type="spellEnd"/>
                        <w:r w:rsidRPr="00A53994">
                          <w:rPr>
                            <w:rFonts w:ascii="Times New Roman" w:eastAsia="Times New Roman" w:hAnsi="Times New Roman" w:cs="Times New Roman"/>
                            <w:b/>
                            <w:bCs/>
                            <w:sz w:val="20"/>
                            <w:szCs w:val="20"/>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1.901</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1,7</w:t>
                        </w:r>
                      </w:p>
                    </w:tc>
                  </w:tr>
                  <w:tr w:rsidR="00A53994" w:rsidRPr="00A53994" w:rsidTr="00A53994">
                    <w:trPr>
                      <w:trHeight w:val="242"/>
                    </w:trPr>
                    <w:tc>
                      <w:tcPr>
                        <w:tcW w:w="328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TOPLAM</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112.048</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100</w:t>
                        </w:r>
                      </w:p>
                    </w:tc>
                  </w:tr>
                </w:tbl>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br w:type="textWrapping" w:clear="all"/>
                  </w:r>
                  <w:r w:rsidRPr="00A53994">
                    <w:rPr>
                      <w:rFonts w:ascii="Times New Roman" w:eastAsia="Times New Roman" w:hAnsi="Times New Roman" w:cs="Times New Roman"/>
                      <w:sz w:val="18"/>
                      <w:szCs w:val="18"/>
                      <w:lang w:eastAsia="tr-TR"/>
                    </w:rPr>
                    <w:t>Not: Küsuratlar yuvarlatılmıştır.</w:t>
                  </w:r>
                </w:p>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18"/>
                      <w:szCs w:val="18"/>
                      <w:lang w:eastAsia="tr-TR"/>
                    </w:rPr>
                    <w:t xml:space="preserve">Kaynak: Maliye Bakanlığı, (2018) </w:t>
                  </w:r>
                  <w:proofErr w:type="gramStart"/>
                  <w:r w:rsidRPr="00A53994">
                    <w:rPr>
                      <w:rFonts w:ascii="Times New Roman" w:eastAsia="Times New Roman" w:hAnsi="Times New Roman" w:cs="Times New Roman"/>
                      <w:sz w:val="18"/>
                      <w:szCs w:val="18"/>
                      <w:lang w:eastAsia="tr-TR"/>
                    </w:rPr>
                    <w:t>“ 2017</w:t>
                  </w:r>
                  <w:proofErr w:type="gramEnd"/>
                  <w:r w:rsidRPr="00A53994">
                    <w:rPr>
                      <w:rFonts w:ascii="Times New Roman" w:eastAsia="Times New Roman" w:hAnsi="Times New Roman" w:cs="Times New Roman"/>
                      <w:sz w:val="18"/>
                      <w:szCs w:val="18"/>
                      <w:lang w:eastAsia="tr-TR"/>
                    </w:rPr>
                    <w:t xml:space="preserve"> Yılı Genel Faaliyet Raporu”,</w:t>
                  </w:r>
                </w:p>
                <w:p w:rsidR="00A53994" w:rsidRPr="00A53994" w:rsidRDefault="00A53994" w:rsidP="00A53994">
                  <w:pPr>
                    <w:spacing w:after="0" w:line="330" w:lineRule="atLeast"/>
                    <w:jc w:val="both"/>
                    <w:rPr>
                      <w:rFonts w:ascii="Calibri" w:eastAsia="Times New Roman" w:hAnsi="Calibri" w:cs="Arial"/>
                      <w:lang w:eastAsia="tr-TR"/>
                    </w:rPr>
                  </w:pPr>
                  <w:r w:rsidRPr="00A53994">
                    <w:rPr>
                      <w:rFonts w:ascii="Times New Roman" w:eastAsia="Times New Roman" w:hAnsi="Times New Roman" w:cs="Times New Roman"/>
                      <w:sz w:val="18"/>
                      <w:szCs w:val="18"/>
                      <w:lang w:eastAsia="tr-TR"/>
                    </w:rPr>
                    <w:t>               </w:t>
                  </w: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 xml:space="preserve">Fonksiyonel sınıflandırmaya göre 2017 yılı belediye bütçe giderleri içinde en büyük pay, (%28,6) oranı ile genel kamu hizmetlerine ayrılmıştır. Genel kamu hizmet giderlerinden sonra, (%23,6) oranı ile ekonomik iş/hizmetler giderleri, (%22,1) oranı ile de </w:t>
                  </w:r>
                  <w:proofErr w:type="gramStart"/>
                  <w:r w:rsidRPr="00A53994">
                    <w:rPr>
                      <w:rFonts w:ascii="Times New Roman" w:eastAsia="Times New Roman" w:hAnsi="Times New Roman" w:cs="Times New Roman"/>
                      <w:sz w:val="24"/>
                      <w:szCs w:val="24"/>
                      <w:lang w:eastAsia="tr-TR"/>
                    </w:rPr>
                    <w:t>iskan</w:t>
                  </w:r>
                  <w:proofErr w:type="gramEnd"/>
                  <w:r w:rsidRPr="00A53994">
                    <w:rPr>
                      <w:rFonts w:ascii="Times New Roman" w:eastAsia="Times New Roman" w:hAnsi="Times New Roman" w:cs="Times New Roman"/>
                      <w:sz w:val="24"/>
                      <w:szCs w:val="24"/>
                      <w:lang w:eastAsia="tr-TR"/>
                    </w:rPr>
                    <w:t xml:space="preserve"> ve toplum refahı giderleri gelmektedir. </w:t>
                  </w:r>
                  <w:r w:rsidRPr="00A53994">
                    <w:rPr>
                      <w:rFonts w:ascii="Times New Roman" w:eastAsia="Times New Roman" w:hAnsi="Times New Roman" w:cs="Times New Roman"/>
                      <w:b/>
                      <w:bCs/>
                      <w:sz w:val="24"/>
                      <w:szCs w:val="24"/>
                      <w:lang w:eastAsia="tr-TR"/>
                    </w:rPr>
                    <w:t>Eğitim hizmet giderlerinin ise (</w:t>
                  </w:r>
                  <w:proofErr w:type="gramStart"/>
                  <w:r w:rsidRPr="00A53994">
                    <w:rPr>
                      <w:rFonts w:ascii="Times New Roman" w:eastAsia="Times New Roman" w:hAnsi="Times New Roman" w:cs="Times New Roman"/>
                      <w:b/>
                      <w:bCs/>
                      <w:sz w:val="24"/>
                      <w:szCs w:val="24"/>
                      <w:lang w:eastAsia="tr-TR"/>
                    </w:rPr>
                    <w:t>% 1</w:t>
                  </w:r>
                  <w:proofErr w:type="gramEnd"/>
                  <w:r w:rsidRPr="00A53994">
                    <w:rPr>
                      <w:rFonts w:ascii="Times New Roman" w:eastAsia="Times New Roman" w:hAnsi="Times New Roman" w:cs="Times New Roman"/>
                      <w:b/>
                      <w:bCs/>
                      <w:sz w:val="24"/>
                      <w:szCs w:val="24"/>
                      <w:lang w:eastAsia="tr-TR"/>
                    </w:rPr>
                    <w:t>) oranın dahi çok altında kalması anlamlıdır.</w:t>
                  </w: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b/>
                      <w:bCs/>
                      <w:sz w:val="24"/>
                      <w:szCs w:val="24"/>
                      <w:lang w:eastAsia="tr-TR"/>
                    </w:rPr>
                    <w:t> </w:t>
                  </w:r>
                </w:p>
                <w:p w:rsidR="00A53994" w:rsidRDefault="00A53994" w:rsidP="00A53994">
                  <w:pPr>
                    <w:spacing w:after="0" w:line="253" w:lineRule="atLeast"/>
                    <w:ind w:firstLine="851"/>
                    <w:jc w:val="both"/>
                    <w:rPr>
                      <w:rFonts w:ascii="Times New Roman" w:eastAsia="Times New Roman" w:hAnsi="Times New Roman" w:cs="Times New Roman"/>
                      <w:b/>
                      <w:bCs/>
                      <w:sz w:val="24"/>
                      <w:szCs w:val="24"/>
                      <w:lang w:eastAsia="tr-TR"/>
                    </w:rPr>
                  </w:pPr>
                  <w:r w:rsidRPr="00A53994">
                    <w:rPr>
                      <w:rFonts w:ascii="Times New Roman" w:eastAsia="Times New Roman" w:hAnsi="Times New Roman" w:cs="Times New Roman"/>
                      <w:b/>
                      <w:bCs/>
                      <w:sz w:val="24"/>
                      <w:szCs w:val="24"/>
                      <w:lang w:eastAsia="tr-TR"/>
                    </w:rPr>
                    <w:t>C-Bütçe Gelirleri</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Ekonomik sınıflandırmaya göre belediyelerin 2017 yılı gelirleri ve bu gelirlerin 2017/2016 değişim oranları Tablo 3’de gösterilmiştir.</w:t>
                  </w: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b/>
                      <w:bCs/>
                      <w:sz w:val="18"/>
                      <w:szCs w:val="18"/>
                      <w:lang w:eastAsia="tr-TR"/>
                    </w:rPr>
                    <w:t> </w:t>
                  </w:r>
                </w:p>
                <w:p w:rsidR="00A53994" w:rsidRPr="00A53994" w:rsidRDefault="00A53994" w:rsidP="00F4438D">
                  <w:pPr>
                    <w:spacing w:after="0" w:line="330" w:lineRule="atLeast"/>
                    <w:rPr>
                      <w:rFonts w:ascii="Calibri" w:eastAsia="Times New Roman" w:hAnsi="Calibri" w:cs="Arial"/>
                      <w:lang w:eastAsia="tr-TR"/>
                    </w:rPr>
                  </w:pPr>
                  <w:r w:rsidRPr="00A53994">
                    <w:rPr>
                      <w:rFonts w:ascii="Times New Roman" w:eastAsia="Times New Roman" w:hAnsi="Times New Roman" w:cs="Times New Roman"/>
                      <w:b/>
                      <w:bCs/>
                      <w:sz w:val="24"/>
                      <w:szCs w:val="24"/>
                      <w:lang w:eastAsia="tr-TR"/>
                    </w:rPr>
                    <w:t>Tablo 3: 2017 Yılında Belediyelerin Bütçe Gelirleri</w:t>
                  </w:r>
                  <w:r w:rsidRPr="00A53994">
                    <w:rPr>
                      <w:rFonts w:ascii="Times New Roman" w:eastAsia="Times New Roman" w:hAnsi="Times New Roman" w:cs="Times New Roman"/>
                      <w:sz w:val="24"/>
                      <w:szCs w:val="24"/>
                      <w:lang w:eastAsia="tr-TR"/>
                    </w:rPr>
                    <w:t> </w:t>
                  </w:r>
                  <w:r w:rsidRPr="00A53994">
                    <w:rPr>
                      <w:rFonts w:ascii="Times New Roman" w:eastAsia="Times New Roman" w:hAnsi="Times New Roman" w:cs="Times New Roman"/>
                      <w:sz w:val="18"/>
                      <w:szCs w:val="18"/>
                      <w:lang w:eastAsia="tr-TR"/>
                    </w:rPr>
                    <w:t>(Milyon TL)</w:t>
                  </w:r>
                  <w:r w:rsidR="002F57A7">
                    <w:rPr>
                      <w:rFonts w:ascii="Times New Roman" w:eastAsia="Times New Roman" w:hAnsi="Times New Roman" w:cs="Times New Roman"/>
                      <w:sz w:val="18"/>
                      <w:szCs w:val="18"/>
                      <w:lang w:eastAsia="tr-TR"/>
                    </w:rPr>
                    <w:br/>
                  </w:r>
                </w:p>
                <w:tbl>
                  <w:tblPr>
                    <w:tblW w:w="7935" w:type="dxa"/>
                    <w:jc w:val="center"/>
                    <w:tblCellMar>
                      <w:left w:w="0" w:type="dxa"/>
                      <w:right w:w="0" w:type="dxa"/>
                    </w:tblCellMar>
                    <w:tblLook w:val="04A0" w:firstRow="1" w:lastRow="0" w:firstColumn="1" w:lastColumn="0" w:noHBand="0" w:noVBand="1"/>
                  </w:tblPr>
                  <w:tblGrid>
                    <w:gridCol w:w="4533"/>
                    <w:gridCol w:w="851"/>
                    <w:gridCol w:w="1275"/>
                    <w:gridCol w:w="1276"/>
                  </w:tblGrid>
                  <w:tr w:rsidR="00A53994" w:rsidRPr="00A53994" w:rsidTr="00A53994">
                    <w:trPr>
                      <w:jc w:val="center"/>
                    </w:trPr>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b/>
                            <w:bCs/>
                            <w:sz w:val="18"/>
                            <w:szCs w:val="18"/>
                            <w:lang w:eastAsia="tr-TR"/>
                          </w:rPr>
                          <w:t>Gelirin Türü</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b/>
                            <w:bCs/>
                            <w:sz w:val="18"/>
                            <w:szCs w:val="18"/>
                            <w:lang w:eastAsia="tr-TR"/>
                          </w:rPr>
                          <w:t>2016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b/>
                            <w:bCs/>
                            <w:sz w:val="18"/>
                            <w:szCs w:val="18"/>
                            <w:lang w:eastAsia="tr-TR"/>
                          </w:rPr>
                          <w:t>2017</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b/>
                            <w:bCs/>
                            <w:sz w:val="18"/>
                            <w:szCs w:val="18"/>
                            <w:lang w:eastAsia="tr-TR"/>
                          </w:rPr>
                          <w:t>2016/2017 Değişim Oranı (%)</w:t>
                        </w:r>
                      </w:p>
                    </w:tc>
                  </w:tr>
                  <w:tr w:rsidR="00A53994" w:rsidRPr="00A53994" w:rsidTr="00A53994">
                    <w:trPr>
                      <w:trHeight w:val="392"/>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1-Vergi Gelirleri</w:t>
                        </w:r>
                      </w:p>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(Emlak, mal/ hizmet vergileri; harçlar vb.)</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18"/>
                            <w:szCs w:val="18"/>
                            <w:lang w:eastAsia="tr-TR"/>
                          </w:rPr>
                          <w:t>12.225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18"/>
                            <w:szCs w:val="18"/>
                            <w:lang w:eastAsia="tr-TR"/>
                          </w:rPr>
                          <w:t>13.217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18"/>
                            <w:szCs w:val="18"/>
                            <w:lang w:eastAsia="tr-TR"/>
                          </w:rPr>
                          <w:t>8,1</w:t>
                        </w:r>
                      </w:p>
                    </w:tc>
                  </w:tr>
                  <w:tr w:rsidR="00A53994" w:rsidRPr="00A53994" w:rsidTr="00A53994">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2-Teşebbüs ve Mülkiyet Gelirleri</w:t>
                        </w:r>
                      </w:p>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(Mal/hizmet satışı, kira vb.)</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18"/>
                            <w:szCs w:val="18"/>
                            <w:lang w:eastAsia="tr-TR"/>
                          </w:rPr>
                          <w:t>8.426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18"/>
                            <w:szCs w:val="18"/>
                            <w:lang w:eastAsia="tr-TR"/>
                          </w:rPr>
                          <w:t>11.585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18"/>
                            <w:szCs w:val="18"/>
                            <w:lang w:eastAsia="tr-TR"/>
                          </w:rPr>
                          <w:t>37,5</w:t>
                        </w:r>
                      </w:p>
                    </w:tc>
                  </w:tr>
                  <w:tr w:rsidR="00A53994" w:rsidRPr="00A53994" w:rsidTr="00A53994">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3- Alınan Bağış ve Yardımlar</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18"/>
                            <w:szCs w:val="18"/>
                            <w:lang w:eastAsia="tr-TR"/>
                          </w:rPr>
                          <w:t>1.621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18"/>
                            <w:szCs w:val="18"/>
                            <w:lang w:eastAsia="tr-TR"/>
                          </w:rPr>
                          <w:t>1.981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18"/>
                            <w:szCs w:val="18"/>
                            <w:lang w:eastAsia="tr-TR"/>
                          </w:rPr>
                          <w:t>22,3</w:t>
                        </w:r>
                      </w:p>
                    </w:tc>
                  </w:tr>
                  <w:tr w:rsidR="00A53994" w:rsidRPr="00A53994" w:rsidTr="00A53994">
                    <w:trPr>
                      <w:trHeight w:val="270"/>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4-</w:t>
                        </w:r>
                        <w:r w:rsidRPr="00A53994">
                          <w:rPr>
                            <w:rFonts w:ascii="Times New Roman" w:eastAsia="Times New Roman" w:hAnsi="Times New Roman" w:cs="Times New Roman"/>
                            <w:b/>
                            <w:bCs/>
                            <w:sz w:val="20"/>
                            <w:szCs w:val="20"/>
                            <w:lang w:eastAsia="tr-TR"/>
                          </w:rPr>
                          <w:t>Faizler, </w:t>
                        </w:r>
                        <w:r w:rsidRPr="00A53994">
                          <w:rPr>
                            <w:rFonts w:ascii="Times New Roman" w:eastAsia="Times New Roman" w:hAnsi="Times New Roman" w:cs="Times New Roman"/>
                            <w:b/>
                            <w:bCs/>
                            <w:sz w:val="20"/>
                            <w:szCs w:val="20"/>
                            <w:u w:val="single"/>
                            <w:lang w:eastAsia="tr-TR"/>
                          </w:rPr>
                          <w:t>Paylar</w:t>
                        </w:r>
                        <w:r w:rsidRPr="00A53994">
                          <w:rPr>
                            <w:rFonts w:ascii="Times New Roman" w:eastAsia="Times New Roman" w:hAnsi="Times New Roman" w:cs="Times New Roman"/>
                            <w:b/>
                            <w:bCs/>
                            <w:sz w:val="20"/>
                            <w:szCs w:val="20"/>
                            <w:lang w:eastAsia="tr-TR"/>
                          </w:rPr>
                          <w:t> ve Cezalar</w:t>
                        </w:r>
                      </w:p>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(Kişi ve kurumlardan alınan paylar vb.)</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18"/>
                            <w:szCs w:val="18"/>
                            <w:lang w:eastAsia="tr-TR"/>
                          </w:rPr>
                          <w:t>52.173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18"/>
                            <w:szCs w:val="18"/>
                            <w:lang w:eastAsia="tr-TR"/>
                          </w:rPr>
                          <w:t>62.144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18"/>
                            <w:szCs w:val="18"/>
                            <w:lang w:eastAsia="tr-TR"/>
                          </w:rPr>
                          <w:t>19,1</w:t>
                        </w:r>
                      </w:p>
                    </w:tc>
                  </w:tr>
                  <w:tr w:rsidR="00A53994" w:rsidRPr="00A53994" w:rsidTr="00A53994">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t>5-</w:t>
                        </w:r>
                        <w:r w:rsidRPr="00A53994">
                          <w:rPr>
                            <w:rFonts w:ascii="Times New Roman" w:eastAsia="Times New Roman" w:hAnsi="Times New Roman" w:cs="Times New Roman"/>
                            <w:b/>
                            <w:bCs/>
                            <w:sz w:val="20"/>
                            <w:szCs w:val="20"/>
                            <w:lang w:eastAsia="tr-TR"/>
                          </w:rPr>
                          <w:t>Sermaye Gelirleri</w:t>
                        </w:r>
                      </w:p>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20"/>
                            <w:szCs w:val="20"/>
                            <w:lang w:eastAsia="tr-TR"/>
                          </w:rPr>
                          <w:lastRenderedPageBreak/>
                          <w:t>(Taşınır/taşınmaz/menkul kıymet satışı vb.)</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18"/>
                            <w:szCs w:val="18"/>
                            <w:lang w:eastAsia="tr-TR"/>
                          </w:rPr>
                          <w:lastRenderedPageBreak/>
                          <w:t>5.838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18"/>
                            <w:szCs w:val="18"/>
                            <w:lang w:eastAsia="tr-TR"/>
                          </w:rPr>
                          <w:t>7.879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18"/>
                            <w:szCs w:val="18"/>
                            <w:lang w:eastAsia="tr-TR"/>
                          </w:rPr>
                          <w:t>35</w:t>
                        </w:r>
                      </w:p>
                    </w:tc>
                  </w:tr>
                  <w:tr w:rsidR="00A53994" w:rsidRPr="00A53994" w:rsidTr="00A53994">
                    <w:trPr>
                      <w:trHeight w:val="257"/>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b/>
                            <w:bCs/>
                            <w:sz w:val="20"/>
                            <w:szCs w:val="20"/>
                            <w:lang w:eastAsia="tr-TR"/>
                          </w:rPr>
                          <w:t>6-Alacaklardan Tahsilat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18"/>
                            <w:szCs w:val="18"/>
                            <w:lang w:eastAsia="tr-TR"/>
                          </w:rPr>
                          <w:t>709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sz w:val="18"/>
                            <w:szCs w:val="18"/>
                            <w:lang w:eastAsia="tr-TR"/>
                          </w:rPr>
                          <w:t>340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18"/>
                            <w:szCs w:val="18"/>
                            <w:lang w:eastAsia="tr-TR"/>
                          </w:rPr>
                          <w:t>-52</w:t>
                        </w:r>
                      </w:p>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18"/>
                            <w:szCs w:val="18"/>
                            <w:lang w:eastAsia="tr-TR"/>
                          </w:rPr>
                          <w:t> </w:t>
                        </w:r>
                      </w:p>
                    </w:tc>
                  </w:tr>
                  <w:tr w:rsidR="00A53994" w:rsidRPr="00A53994" w:rsidTr="00A53994">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b/>
                            <w:bCs/>
                            <w:sz w:val="18"/>
                            <w:szCs w:val="18"/>
                            <w:lang w:eastAsia="tr-TR"/>
                          </w:rPr>
                          <w:t>GELİR TOPLAMI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b/>
                            <w:bCs/>
                            <w:sz w:val="18"/>
                            <w:szCs w:val="18"/>
                            <w:lang w:eastAsia="tr-TR"/>
                          </w:rPr>
                          <w:t>80.994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before="100" w:beforeAutospacing="1" w:after="0" w:line="240" w:lineRule="auto"/>
                          <w:jc w:val="both"/>
                          <w:rPr>
                            <w:rFonts w:ascii="Arial" w:eastAsia="Times New Roman" w:hAnsi="Arial" w:cs="Arial"/>
                            <w:sz w:val="20"/>
                            <w:szCs w:val="20"/>
                            <w:lang w:eastAsia="tr-TR"/>
                          </w:rPr>
                        </w:pPr>
                        <w:r w:rsidRPr="00A53994">
                          <w:rPr>
                            <w:rFonts w:ascii="Times New Roman" w:eastAsia="Times New Roman" w:hAnsi="Times New Roman" w:cs="Times New Roman"/>
                            <w:b/>
                            <w:bCs/>
                            <w:sz w:val="18"/>
                            <w:szCs w:val="18"/>
                            <w:lang w:eastAsia="tr-TR"/>
                          </w:rPr>
                          <w:t>97.148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b/>
                            <w:bCs/>
                            <w:sz w:val="18"/>
                            <w:szCs w:val="18"/>
                            <w:lang w:eastAsia="tr-TR"/>
                          </w:rPr>
                          <w:t>19,9</w:t>
                        </w:r>
                      </w:p>
                    </w:tc>
                  </w:tr>
                </w:tbl>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18"/>
                      <w:szCs w:val="18"/>
                      <w:lang w:eastAsia="tr-TR"/>
                    </w:rPr>
                    <w:t>                     Not: Küsuratlar yuvarlatılmıştır.</w:t>
                  </w:r>
                </w:p>
                <w:p w:rsidR="00A53994" w:rsidRPr="00A53994" w:rsidRDefault="00A53994" w:rsidP="00A53994">
                  <w:pPr>
                    <w:spacing w:after="0" w:line="240" w:lineRule="auto"/>
                    <w:jc w:val="both"/>
                    <w:rPr>
                      <w:rFonts w:ascii="Calibri" w:eastAsia="Times New Roman" w:hAnsi="Calibri" w:cs="Arial"/>
                      <w:lang w:eastAsia="tr-TR"/>
                    </w:rPr>
                  </w:pPr>
                  <w:r w:rsidRPr="00A53994">
                    <w:rPr>
                      <w:rFonts w:ascii="Calibri" w:eastAsia="Times New Roman" w:hAnsi="Calibri" w:cs="Arial"/>
                      <w:lang w:eastAsia="tr-TR"/>
                    </w:rPr>
                    <w:t>                  </w:t>
                  </w:r>
                  <w:r w:rsidRPr="00A53994">
                    <w:rPr>
                      <w:rFonts w:ascii="Times New Roman" w:eastAsia="Times New Roman" w:hAnsi="Times New Roman" w:cs="Times New Roman"/>
                      <w:sz w:val="18"/>
                      <w:szCs w:val="18"/>
                      <w:lang w:eastAsia="tr-TR"/>
                    </w:rPr>
                    <w:t xml:space="preserve">Kaynak: Maliye Bakanlığı, (2018) </w:t>
                  </w:r>
                  <w:proofErr w:type="gramStart"/>
                  <w:r w:rsidRPr="00A53994">
                    <w:rPr>
                      <w:rFonts w:ascii="Times New Roman" w:eastAsia="Times New Roman" w:hAnsi="Times New Roman" w:cs="Times New Roman"/>
                      <w:sz w:val="18"/>
                      <w:szCs w:val="18"/>
                      <w:lang w:eastAsia="tr-TR"/>
                    </w:rPr>
                    <w:t>“ 2017</w:t>
                  </w:r>
                  <w:proofErr w:type="gramEnd"/>
                  <w:r w:rsidRPr="00A53994">
                    <w:rPr>
                      <w:rFonts w:ascii="Times New Roman" w:eastAsia="Times New Roman" w:hAnsi="Times New Roman" w:cs="Times New Roman"/>
                      <w:sz w:val="18"/>
                      <w:szCs w:val="18"/>
                      <w:lang w:eastAsia="tr-TR"/>
                    </w:rPr>
                    <w:t xml:space="preserve"> Yılı Genel Faaliyet Raporu”,</w:t>
                  </w:r>
                </w:p>
                <w:p w:rsidR="00A53994" w:rsidRPr="00A53994" w:rsidRDefault="00A53994" w:rsidP="00A53994">
                  <w:pPr>
                    <w:spacing w:after="0" w:line="240" w:lineRule="auto"/>
                    <w:jc w:val="both"/>
                    <w:rPr>
                      <w:rFonts w:ascii="Calibri" w:eastAsia="Times New Roman" w:hAnsi="Calibri" w:cs="Arial"/>
                      <w:lang w:eastAsia="tr-TR"/>
                    </w:rPr>
                  </w:pPr>
                  <w:r w:rsidRPr="00A53994">
                    <w:rPr>
                      <w:rFonts w:ascii="Times New Roman" w:eastAsia="Times New Roman" w:hAnsi="Times New Roman" w:cs="Times New Roman"/>
                      <w:sz w:val="18"/>
                      <w:szCs w:val="18"/>
                      <w:lang w:eastAsia="tr-TR"/>
                    </w:rPr>
                    <w:t>                   </w:t>
                  </w: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2017 yılında belediyelerin bütçe gelirleri bir önceki yıla göre %19,9 artışla 97,1 milyar TL olarak gerçekleşmiştir.</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Belediye gelirleri içindeki en büyük (</w:t>
                  </w:r>
                  <w:proofErr w:type="gramStart"/>
                  <w:r w:rsidRPr="00A53994">
                    <w:rPr>
                      <w:rFonts w:ascii="Times New Roman" w:eastAsia="Times New Roman" w:hAnsi="Times New Roman" w:cs="Times New Roman"/>
                      <w:sz w:val="24"/>
                      <w:szCs w:val="24"/>
                      <w:lang w:eastAsia="tr-TR"/>
                    </w:rPr>
                    <w:t>% 64</w:t>
                  </w:r>
                  <w:proofErr w:type="gramEnd"/>
                  <w:r w:rsidRPr="00A53994">
                    <w:rPr>
                      <w:rFonts w:ascii="Times New Roman" w:eastAsia="Times New Roman" w:hAnsi="Times New Roman" w:cs="Times New Roman"/>
                      <w:sz w:val="24"/>
                      <w:szCs w:val="24"/>
                      <w:lang w:eastAsia="tr-TR"/>
                    </w:rPr>
                    <w:t>) payı, merkezi idare vergi gelirlerinden alınan paylarında içinde bulunduğu faizler, paylar ve cezalar kalemi oluşturmaktadır. 2017 yılında merkezi idare vergi gelirlerinden belediyelere 55,8 milyar TL ödenmiştir. </w:t>
                  </w:r>
                  <w:r w:rsidRPr="00A53994">
                    <w:rPr>
                      <w:rFonts w:ascii="Times New Roman" w:eastAsia="Times New Roman" w:hAnsi="Times New Roman" w:cs="Times New Roman"/>
                      <w:b/>
                      <w:bCs/>
                      <w:sz w:val="24"/>
                      <w:szCs w:val="24"/>
                      <w:lang w:eastAsia="tr-TR"/>
                    </w:rPr>
                    <w:t xml:space="preserve">Maliye Bakanlığı ve İller Bankası aracılığıyla ödenmekte olan bu pay, tek başına, belediyelerin tüm gelirlerinin </w:t>
                  </w:r>
                  <w:proofErr w:type="gramStart"/>
                  <w:r w:rsidRPr="00A53994">
                    <w:rPr>
                      <w:rFonts w:ascii="Times New Roman" w:eastAsia="Times New Roman" w:hAnsi="Times New Roman" w:cs="Times New Roman"/>
                      <w:b/>
                      <w:bCs/>
                      <w:sz w:val="24"/>
                      <w:szCs w:val="24"/>
                      <w:lang w:eastAsia="tr-TR"/>
                    </w:rPr>
                    <w:t>% 57,5</w:t>
                  </w:r>
                  <w:proofErr w:type="gramEnd"/>
                  <w:r w:rsidRPr="00A53994">
                    <w:rPr>
                      <w:rFonts w:ascii="Times New Roman" w:eastAsia="Times New Roman" w:hAnsi="Times New Roman" w:cs="Times New Roman"/>
                      <w:b/>
                      <w:bCs/>
                      <w:sz w:val="24"/>
                      <w:szCs w:val="24"/>
                      <w:lang w:eastAsia="tr-TR"/>
                    </w:rPr>
                    <w:t>’ine karşılık gelmektedir</w:t>
                  </w:r>
                  <w:r w:rsidRPr="00A53994">
                    <w:rPr>
                      <w:rFonts w:ascii="Times New Roman" w:eastAsia="Times New Roman" w:hAnsi="Times New Roman" w:cs="Times New Roman"/>
                      <w:sz w:val="24"/>
                      <w:szCs w:val="24"/>
                      <w:lang w:eastAsia="tr-TR"/>
                    </w:rPr>
                    <w:t xml:space="preserve">. Bu yüzden (halen) belediyelerde, öz gelirlerin toplam gelirlerine oranı </w:t>
                  </w:r>
                  <w:proofErr w:type="gramStart"/>
                  <w:r w:rsidRPr="00A53994">
                    <w:rPr>
                      <w:rFonts w:ascii="Times New Roman" w:eastAsia="Times New Roman" w:hAnsi="Times New Roman" w:cs="Times New Roman"/>
                      <w:sz w:val="24"/>
                      <w:szCs w:val="24"/>
                      <w:lang w:eastAsia="tr-TR"/>
                    </w:rPr>
                    <w:t>% 42,5</w:t>
                  </w:r>
                  <w:proofErr w:type="gramEnd"/>
                  <w:r w:rsidR="002F57A7">
                    <w:rPr>
                      <w:rFonts w:ascii="Times New Roman" w:eastAsia="Times New Roman" w:hAnsi="Times New Roman" w:cs="Times New Roman"/>
                      <w:sz w:val="24"/>
                      <w:szCs w:val="24"/>
                      <w:lang w:eastAsia="tr-TR"/>
                    </w:rPr>
                    <w:t>’</w:t>
                  </w:r>
                  <w:r w:rsidRPr="00A53994">
                    <w:rPr>
                      <w:rFonts w:ascii="Times New Roman" w:eastAsia="Times New Roman" w:hAnsi="Times New Roman" w:cs="Times New Roman"/>
                      <w:sz w:val="24"/>
                      <w:szCs w:val="24"/>
                      <w:lang w:eastAsia="tr-TR"/>
                    </w:rPr>
                    <w:t>in altında kalmaktadır.</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2017 yılı belediye bütçe gelirlerinde bir önceli yıla ait gelirlere göre en fazla değişimler; yüzde olarak, (-</w:t>
                  </w:r>
                  <w:proofErr w:type="gramStart"/>
                  <w:r w:rsidRPr="00A53994">
                    <w:rPr>
                      <w:rFonts w:ascii="Times New Roman" w:eastAsia="Times New Roman" w:hAnsi="Times New Roman" w:cs="Times New Roman"/>
                      <w:sz w:val="24"/>
                      <w:szCs w:val="24"/>
                      <w:lang w:eastAsia="tr-TR"/>
                    </w:rPr>
                    <w:t>52 )</w:t>
                  </w:r>
                  <w:proofErr w:type="gramEnd"/>
                  <w:r w:rsidRPr="00A53994">
                    <w:rPr>
                      <w:rFonts w:ascii="Times New Roman" w:eastAsia="Times New Roman" w:hAnsi="Times New Roman" w:cs="Times New Roman"/>
                      <w:sz w:val="24"/>
                      <w:szCs w:val="24"/>
                      <w:lang w:eastAsia="tr-TR"/>
                    </w:rPr>
                    <w:t xml:space="preserve"> oranı ile alacaklardan tahsilat; (37,5 ) oranı ile teşebbüs ve mülkiyet ve (35) oranı ile de sermaye gelirleri kalemlerinde gerçekleşmiştir.</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Sermaye gelirleri içinde taşınmaz mal satış gelirleri önemli pay oluşturmaya devam etmektedir. 1,9 milyar TL tutarındaki bağış, yardımlar ve özel gelirlerin büyük bölümünü, kamu idarelerinden sağlanmış proje yardımları oluşturmuştur. </w:t>
                  </w: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 </w:t>
                  </w:r>
                </w:p>
                <w:p w:rsidR="00A53994" w:rsidRDefault="00A53994" w:rsidP="00A53994">
                  <w:pPr>
                    <w:spacing w:after="0" w:line="253" w:lineRule="atLeast"/>
                    <w:ind w:firstLine="851"/>
                    <w:jc w:val="both"/>
                    <w:rPr>
                      <w:rFonts w:ascii="Times New Roman" w:eastAsia="Times New Roman" w:hAnsi="Times New Roman" w:cs="Times New Roman"/>
                      <w:b/>
                      <w:bCs/>
                      <w:sz w:val="24"/>
                      <w:szCs w:val="24"/>
                      <w:lang w:eastAsia="tr-TR"/>
                    </w:rPr>
                  </w:pPr>
                  <w:r w:rsidRPr="00A53994">
                    <w:rPr>
                      <w:rFonts w:ascii="Times New Roman" w:eastAsia="Times New Roman" w:hAnsi="Times New Roman" w:cs="Times New Roman"/>
                      <w:b/>
                      <w:bCs/>
                      <w:sz w:val="24"/>
                      <w:szCs w:val="24"/>
                      <w:lang w:eastAsia="tr-TR"/>
                    </w:rPr>
                    <w:t>IV-BELEDİYELERİN MALİ TABLOLARINA İLİŞKİN AÇIKLAMALAR</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Maliye Bakanlığınca (Muhasebat Gn. Md.)  2015 yılından itibaren (ayrıntılı) Genel Yönetim Mali İstatistikleri Bülteni /Mahalli İdareler Mali Analiz Raporları yayınlanmamaktadır.  Bu nedenle Maliye Bakanlığı Genel Faaliyet Raporlarında mahalli idarelere ait mali istatistiklerin (gelir, gider, varlık ve yükümlülüklere ilişkin mali tabloların) topluca görülmesi ve belediyelere özgü mali istatistiklerin sağlıklı değerlendirilmesi olanağı bulunmamaktadır.</w:t>
                  </w:r>
                  <w:r w:rsidR="002F57A7">
                    <w:rPr>
                      <w:rFonts w:ascii="Times New Roman" w:eastAsia="Times New Roman" w:hAnsi="Times New Roman" w:cs="Times New Roman"/>
                      <w:sz w:val="24"/>
                      <w:szCs w:val="24"/>
                      <w:lang w:eastAsia="tr-TR"/>
                    </w:rPr>
                    <w:t xml:space="preserve"> </w:t>
                  </w:r>
                  <w:r w:rsidRPr="00A53994">
                    <w:rPr>
                      <w:rFonts w:ascii="Times New Roman" w:eastAsia="Times New Roman" w:hAnsi="Times New Roman" w:cs="Times New Roman"/>
                      <w:sz w:val="24"/>
                      <w:szCs w:val="24"/>
                      <w:lang w:eastAsia="tr-TR"/>
                    </w:rPr>
                    <w:t>(Maliye 2014: “Genel Yönetim Mali İstatistikleri Bülteni”)</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Mahalli İdareler Gn. Md. nün de bu tarz bir çalışma içerinde olmadığı bilinmektedir.</w:t>
                  </w:r>
                  <w:r w:rsidR="00F23F35">
                    <w:rPr>
                      <w:rFonts w:ascii="Times New Roman" w:eastAsia="Times New Roman" w:hAnsi="Times New Roman" w:cs="Times New Roman"/>
                      <w:sz w:val="24"/>
                      <w:szCs w:val="24"/>
                      <w:lang w:eastAsia="tr-TR"/>
                    </w:rPr>
                    <w:t xml:space="preserve"> </w:t>
                  </w:r>
                  <w:r w:rsidRPr="00A53994">
                    <w:rPr>
                      <w:rFonts w:ascii="Times New Roman" w:eastAsia="Times New Roman" w:hAnsi="Times New Roman" w:cs="Times New Roman"/>
                      <w:sz w:val="24"/>
                      <w:szCs w:val="24"/>
                      <w:lang w:eastAsia="tr-TR"/>
                    </w:rPr>
                    <w:t>2015 yılından sonra düzenlenmiş Mahalli İdareler Genel Faaliyet Raporu veya Maliye Bakanlığı Genel Faaliyet raporlarındaki mali tablolar, mahalli idare olmayan kalkınma ajansları ve gençlik ve spor il müdürlüklerini de kapsaması, belediyelere ilişkin verilere erişilememesi nedeniyle konu, bu incelemenin kapsamı dışında bırakılmıştır.</w:t>
                  </w: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 </w:t>
                  </w:r>
                </w:p>
                <w:p w:rsidR="00A53994" w:rsidRDefault="00A53994" w:rsidP="00A53994">
                  <w:pPr>
                    <w:spacing w:after="0" w:line="253" w:lineRule="atLeast"/>
                    <w:ind w:firstLine="851"/>
                    <w:jc w:val="both"/>
                    <w:rPr>
                      <w:rFonts w:ascii="Times New Roman" w:eastAsia="Times New Roman" w:hAnsi="Times New Roman" w:cs="Times New Roman"/>
                      <w:b/>
                      <w:bCs/>
                      <w:sz w:val="24"/>
                      <w:szCs w:val="24"/>
                      <w:lang w:eastAsia="tr-TR"/>
                    </w:rPr>
                  </w:pPr>
                  <w:r w:rsidRPr="00A53994">
                    <w:rPr>
                      <w:rFonts w:ascii="Times New Roman" w:eastAsia="Times New Roman" w:hAnsi="Times New Roman" w:cs="Times New Roman"/>
                      <w:b/>
                      <w:bCs/>
                      <w:sz w:val="24"/>
                      <w:szCs w:val="24"/>
                      <w:lang w:eastAsia="tr-TR"/>
                    </w:rPr>
                    <w:t>V-BELEDİYELERDE DENETİM</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Kamu</w:t>
                  </w:r>
                  <w:r w:rsidRPr="00A53994">
                    <w:rPr>
                      <w:rFonts w:ascii="Times New Roman" w:eastAsia="Times New Roman" w:hAnsi="Times New Roman" w:cs="Times New Roman"/>
                      <w:b/>
                      <w:bCs/>
                      <w:sz w:val="24"/>
                      <w:szCs w:val="24"/>
                      <w:lang w:eastAsia="tr-TR"/>
                    </w:rPr>
                    <w:t> </w:t>
                  </w:r>
                  <w:r w:rsidRPr="00A53994">
                    <w:rPr>
                      <w:rFonts w:ascii="Times New Roman" w:eastAsia="Times New Roman" w:hAnsi="Times New Roman" w:cs="Times New Roman"/>
                      <w:sz w:val="24"/>
                      <w:szCs w:val="24"/>
                      <w:lang w:eastAsia="tr-TR"/>
                    </w:rPr>
                    <w:t xml:space="preserve">mali mevzuatının temel yasası olan 5018 sayılı Kamu Mali Yönetimi ve Kontrol Kanunu uyarınca, diğer kamu idarelerinde olduğu gibi, belediyelerdeki mali kontrol işlemleri </w:t>
                  </w:r>
                  <w:proofErr w:type="gramStart"/>
                  <w:r w:rsidRPr="00A53994">
                    <w:rPr>
                      <w:rFonts w:ascii="Times New Roman" w:eastAsia="Times New Roman" w:hAnsi="Times New Roman" w:cs="Times New Roman"/>
                      <w:sz w:val="24"/>
                      <w:szCs w:val="24"/>
                      <w:lang w:eastAsia="tr-TR"/>
                    </w:rPr>
                    <w:t>de,</w:t>
                  </w:r>
                  <w:proofErr w:type="gramEnd"/>
                  <w:r w:rsidRPr="00A53994">
                    <w:rPr>
                      <w:rFonts w:ascii="Times New Roman" w:eastAsia="Times New Roman" w:hAnsi="Times New Roman" w:cs="Times New Roman"/>
                      <w:sz w:val="24"/>
                      <w:szCs w:val="24"/>
                      <w:lang w:eastAsia="tr-TR"/>
                    </w:rPr>
                    <w:t xml:space="preserve"> iç ve dış denetim olmak üzere iki bölüme ayrılmıştır. Bu standart iç/dış denetimlerin dışında, yerel yönetimlere özgü olarak ayrıca, belediyelerin bazı karar ve işlemleri üzerinde merkezi idarenin Anayasa’dan kaynaklanan idari vesayet denetimi bulunmaktadır.</w:t>
                  </w: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 </w:t>
                  </w:r>
                </w:p>
                <w:p w:rsidR="00A53994" w:rsidRDefault="00A53994" w:rsidP="00A53994">
                  <w:pPr>
                    <w:spacing w:after="0" w:line="253" w:lineRule="atLeast"/>
                    <w:ind w:firstLine="851"/>
                    <w:jc w:val="both"/>
                    <w:rPr>
                      <w:rFonts w:ascii="Times New Roman" w:eastAsia="Times New Roman" w:hAnsi="Times New Roman" w:cs="Times New Roman"/>
                      <w:b/>
                      <w:bCs/>
                      <w:sz w:val="24"/>
                      <w:szCs w:val="24"/>
                      <w:lang w:eastAsia="tr-TR"/>
                    </w:rPr>
                  </w:pPr>
                  <w:r w:rsidRPr="00A53994">
                    <w:rPr>
                      <w:rFonts w:ascii="Times New Roman" w:eastAsia="Times New Roman" w:hAnsi="Times New Roman" w:cs="Times New Roman"/>
                      <w:b/>
                      <w:bCs/>
                      <w:sz w:val="24"/>
                      <w:szCs w:val="24"/>
                      <w:lang w:eastAsia="tr-TR"/>
                    </w:rPr>
                    <w:t>A-İç Denetim</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 xml:space="preserve">İç denetim, iç denetçiler aracılığıyla yapılmaktadır. Bu amaçla 2006 yılından itibaren büyükşehir ve il belediyeleri ile büyükşehir ilçe belediyelerinde iç denetçi kadroları ihdas </w:t>
                  </w:r>
                  <w:r w:rsidRPr="00A53994">
                    <w:rPr>
                      <w:rFonts w:ascii="Times New Roman" w:eastAsia="Times New Roman" w:hAnsi="Times New Roman" w:cs="Times New Roman"/>
                      <w:sz w:val="24"/>
                      <w:szCs w:val="24"/>
                      <w:lang w:eastAsia="tr-TR"/>
                    </w:rPr>
                    <w:lastRenderedPageBreak/>
                    <w:t>edilmiştir. İç denetçi kadrolarına, Maliye Bakanlığınca düzenlenmekte olan özel bir eğitimler sonucunca başarılı olarak sertifika almış olan denetçiler, belediye başkanı tarafından atanabilmektedir. 2017 yılı itibarıyla belediyelere tahsis edilmiş 513 iç denetçi kadrosundan 193’ünün dolu olduğu belirtilmiştir.(İçişleri,2018:109) İç denetçilik kadrosu doluluk oranının  (%38) azlığından, belediye idarelerinin kendilerine bağlı iç denetçiler aracılığı ile yapılan denetimlere fazla ihtiyaç duymadıkları,  bu konuda yeterince istekli olmadıkları anlaşılmaktadır.</w:t>
                  </w:r>
                  <w:r w:rsidRPr="00A53994">
                    <w:rPr>
                      <w:rFonts w:ascii="Calibri" w:eastAsia="Times New Roman" w:hAnsi="Calibri" w:cs="Arial"/>
                      <w:lang w:eastAsia="tr-TR"/>
                    </w:rPr>
                    <w:t>(</w:t>
                  </w:r>
                  <w:r w:rsidRPr="00A53994">
                    <w:rPr>
                      <w:rFonts w:ascii="Times New Roman" w:eastAsia="Times New Roman" w:hAnsi="Times New Roman" w:cs="Times New Roman"/>
                      <w:sz w:val="24"/>
                      <w:szCs w:val="24"/>
                      <w:lang w:eastAsia="tr-TR"/>
                    </w:rPr>
                    <w:t xml:space="preserve">Üstelik 5.10.2006 gün ve 26310 sayılı, 31.5.2013 gün ve 28663 sayılı R.G. </w:t>
                  </w:r>
                  <w:proofErr w:type="spellStart"/>
                  <w:r w:rsidRPr="00A53994">
                    <w:rPr>
                      <w:rFonts w:ascii="Times New Roman" w:eastAsia="Times New Roman" w:hAnsi="Times New Roman" w:cs="Times New Roman"/>
                      <w:sz w:val="24"/>
                      <w:szCs w:val="24"/>
                      <w:lang w:eastAsia="tr-TR"/>
                    </w:rPr>
                    <w:t>lerde</w:t>
                  </w:r>
                  <w:proofErr w:type="spellEnd"/>
                  <w:r w:rsidRPr="00A53994">
                    <w:rPr>
                      <w:rFonts w:ascii="Times New Roman" w:eastAsia="Times New Roman" w:hAnsi="Times New Roman" w:cs="Times New Roman"/>
                      <w:sz w:val="24"/>
                      <w:szCs w:val="24"/>
                      <w:lang w:eastAsia="tr-TR"/>
                    </w:rPr>
                    <w:t xml:space="preserve"> yayımlanmış olan Bakanlar Kurulu kararlarıyla belediyeler için ihdas edilmiş olan iç denetçi kadro sayıları toplamı 612’dir. Dolaysıyla iç denetçi kadrolarındaki doluluk oranı daha da düşük seviyededir. Raporun 109’uncu sayfasında kadro sayısında, dolaysıyla doluluk oranında maddi bir hata yapıldığı da görülmektedir.)</w:t>
                  </w:r>
                </w:p>
                <w:p w:rsidR="00F23F35" w:rsidRPr="00A53994" w:rsidRDefault="00F23F35"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Belediyelerde mali işlemlerin kontrolü için ayrıca, 5393 sayılı Belediye Kanunu</w:t>
                  </w:r>
                  <w:r w:rsidR="00F23F35">
                    <w:rPr>
                      <w:rFonts w:ascii="Times New Roman" w:eastAsia="Times New Roman" w:hAnsi="Times New Roman" w:cs="Times New Roman"/>
                      <w:sz w:val="24"/>
                      <w:szCs w:val="24"/>
                      <w:lang w:eastAsia="tr-TR"/>
                    </w:rPr>
                    <w:t>’</w:t>
                  </w:r>
                  <w:r w:rsidRPr="00A53994">
                    <w:rPr>
                      <w:rFonts w:ascii="Times New Roman" w:eastAsia="Times New Roman" w:hAnsi="Times New Roman" w:cs="Times New Roman"/>
                      <w:sz w:val="24"/>
                      <w:szCs w:val="24"/>
                      <w:lang w:eastAsia="tr-TR"/>
                    </w:rPr>
                    <w:t>nun 25. maddesi uyarınca, nüfusu 10.000 üzerindeki belediyelerde, her mali yılın sonunda hesap iş ve işlemlerini denetlemek üzere belediye meclislerince, kendi üyeleri arasından, denetim komisyonları oluşturulmaktadır. Denetim komisyonlarının hazırladıkları raporlar belediye meclis başkanlığına sunulmakta ve raporların gereği meclis başkanlığınca yerine getirilmektedir.</w:t>
                  </w:r>
                </w:p>
                <w:p w:rsidR="00F23F35" w:rsidRPr="00A53994" w:rsidRDefault="00F23F35" w:rsidP="00A53994">
                  <w:pPr>
                    <w:spacing w:after="0" w:line="253" w:lineRule="atLeast"/>
                    <w:ind w:firstLine="851"/>
                    <w:jc w:val="both"/>
                    <w:rPr>
                      <w:rFonts w:ascii="Calibri" w:eastAsia="Times New Roman" w:hAnsi="Calibri" w:cs="Arial"/>
                      <w:lang w:eastAsia="tr-TR"/>
                    </w:rPr>
                  </w:pP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Diğer yandan 5393 sayılı Belediye Kanunu’nun 26. maddesi hükmü uyarınca, belediye meclislerince başkanın bir yıllık faaliyetlerini raporun yetersiz bulunması/kabul edilmemesi veya belediye başkanı hakkında verilmiş gensorunun belediye meclisince nitelikli çoğunlukla kabulü halinde karar dosyaları Danıştay’a gönderilmekte; kararların Danıştay'ca uygun görülmesi hallerinde belediye başkanı başkanlıktan düşmektedir.</w:t>
                  </w: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 </w:t>
                  </w:r>
                </w:p>
                <w:p w:rsidR="00A53994" w:rsidRDefault="00A53994" w:rsidP="00A53994">
                  <w:pPr>
                    <w:spacing w:after="0" w:line="253" w:lineRule="atLeast"/>
                    <w:ind w:firstLine="851"/>
                    <w:jc w:val="both"/>
                    <w:rPr>
                      <w:rFonts w:ascii="Times New Roman" w:eastAsia="Times New Roman" w:hAnsi="Times New Roman" w:cs="Times New Roman"/>
                      <w:b/>
                      <w:bCs/>
                      <w:sz w:val="24"/>
                      <w:szCs w:val="24"/>
                      <w:lang w:eastAsia="tr-TR"/>
                    </w:rPr>
                  </w:pPr>
                  <w:r w:rsidRPr="00A53994">
                    <w:rPr>
                      <w:rFonts w:ascii="Times New Roman" w:eastAsia="Times New Roman" w:hAnsi="Times New Roman" w:cs="Times New Roman"/>
                      <w:b/>
                      <w:bCs/>
                      <w:sz w:val="24"/>
                      <w:szCs w:val="24"/>
                      <w:lang w:eastAsia="tr-TR"/>
                    </w:rPr>
                    <w:t>B-Dış Denetim</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Kamu idarelerinde harcama sonrası yapılacak tüm mali kontrol işlemlerini kapsayan dış denetim faaliyeti (yetkisi) sadece Sayıştay’a bırakılmıştır. Belediyeler üzerinde vesayet yetkisi bulunan İçişleri Bakanlığının dahi, bazı istisnalar </w:t>
                  </w:r>
                  <w:proofErr w:type="gramStart"/>
                  <w:r w:rsidRPr="00A53994">
                    <w:rPr>
                      <w:rFonts w:ascii="Times New Roman" w:eastAsia="Times New Roman" w:hAnsi="Times New Roman" w:cs="Times New Roman"/>
                      <w:i/>
                      <w:iCs/>
                      <w:sz w:val="24"/>
                      <w:szCs w:val="24"/>
                      <w:lang w:eastAsia="tr-TR"/>
                    </w:rPr>
                    <w:t>( belediye</w:t>
                  </w:r>
                  <w:proofErr w:type="gramEnd"/>
                  <w:r w:rsidRPr="00A53994">
                    <w:rPr>
                      <w:rFonts w:ascii="Times New Roman" w:eastAsia="Times New Roman" w:hAnsi="Times New Roman" w:cs="Times New Roman"/>
                      <w:i/>
                      <w:iCs/>
                      <w:sz w:val="24"/>
                      <w:szCs w:val="24"/>
                      <w:lang w:eastAsia="tr-TR"/>
                    </w:rPr>
                    <w:t xml:space="preserve"> başkanının teklifi üzerine Bakanın onayı veya Başbakanın doğrudan onayı )</w:t>
                  </w:r>
                  <w:r w:rsidRPr="00A53994">
                    <w:rPr>
                      <w:rFonts w:ascii="Times New Roman" w:eastAsia="Times New Roman" w:hAnsi="Times New Roman" w:cs="Times New Roman"/>
                      <w:sz w:val="24"/>
                      <w:szCs w:val="24"/>
                      <w:lang w:eastAsia="tr-TR"/>
                    </w:rPr>
                    <w:t> dışında, belediye yönetimleri üzerinde dış denetim yetkisi bulunmamaktadır.</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Sayıştay tarafından belediyelerde yapılan dış denetimler tüm belediyeleri kapsamamaktadır. Sayıştay denetimlerinin daha çok, büyükşehir/il ve çok az sayıdaki büyükşehir ilçe belediyeleri üzerinde yoğunlaştığı, belediyelerin bütçe büyüklüklerinin dikkate alındığı görülmektedir. Nitekim 2017 yılında belediyelerden 30 büyükşehir belediyesi, 22 büyükşehir bağlı idaresi, 24 il belediyesi, 98 ilçe belediyesinin (dış) denetimi yapılarak rapora bağlanmıştır.</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Diğer 1224 (il/ilçe/ belde) belediyesi ise programa alınmamıştır. </w:t>
                  </w:r>
                  <w:r w:rsidRPr="00A53994">
                    <w:rPr>
                      <w:rFonts w:ascii="Times New Roman" w:eastAsia="Times New Roman" w:hAnsi="Times New Roman" w:cs="Times New Roman"/>
                      <w:b/>
                      <w:bCs/>
                      <w:sz w:val="24"/>
                      <w:szCs w:val="24"/>
                      <w:lang w:eastAsia="tr-TR"/>
                    </w:rPr>
                    <w:t xml:space="preserve">Böylelikle Sayıştay tarafından belediyelerin </w:t>
                  </w:r>
                  <w:proofErr w:type="gramStart"/>
                  <w:r w:rsidRPr="00A53994">
                    <w:rPr>
                      <w:rFonts w:ascii="Times New Roman" w:eastAsia="Times New Roman" w:hAnsi="Times New Roman" w:cs="Times New Roman"/>
                      <w:b/>
                      <w:bCs/>
                      <w:sz w:val="24"/>
                      <w:szCs w:val="24"/>
                      <w:lang w:eastAsia="tr-TR"/>
                    </w:rPr>
                    <w:t>sadece  %</w:t>
                  </w:r>
                  <w:proofErr w:type="gramEnd"/>
                  <w:r w:rsidRPr="00A53994">
                    <w:rPr>
                      <w:rFonts w:ascii="Times New Roman" w:eastAsia="Times New Roman" w:hAnsi="Times New Roman" w:cs="Times New Roman"/>
                      <w:b/>
                      <w:bCs/>
                      <w:sz w:val="24"/>
                      <w:szCs w:val="24"/>
                      <w:lang w:eastAsia="tr-TR"/>
                    </w:rPr>
                    <w:t xml:space="preserve"> 8,6’ si hakkında (dış) denetim raporu düzenlenmiş olduğu anlaşılmaktadır. </w:t>
                  </w:r>
                  <w:r w:rsidRPr="00A53994">
                    <w:rPr>
                      <w:rFonts w:ascii="Times New Roman" w:eastAsia="Times New Roman" w:hAnsi="Times New Roman" w:cs="Times New Roman"/>
                      <w:sz w:val="24"/>
                      <w:szCs w:val="24"/>
                      <w:lang w:eastAsia="tr-TR"/>
                    </w:rPr>
                    <w:t>(Sayıştay Dış Denetim 2018: 4-6)</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Diğer yandan Sayıştay tarafından yürütülen dış denetim faaliyetleri sonucunda, her yıl, kamu idarelerine ilişkin (özel) denetim/yargılamaya esas raporları yanı sıra, kamu idarelerinin genel durumlarını yansıtan ve kamuoyunu bilgilendirmeyi amaçlayan (</w:t>
                  </w:r>
                  <w:r w:rsidRPr="00A53994">
                    <w:rPr>
                      <w:rFonts w:ascii="Times New Roman" w:eastAsia="Times New Roman" w:hAnsi="Times New Roman" w:cs="Times New Roman"/>
                      <w:b/>
                      <w:bCs/>
                      <w:sz w:val="24"/>
                      <w:szCs w:val="24"/>
                      <w:lang w:eastAsia="tr-TR"/>
                    </w:rPr>
                    <w:t>Dış Denetim Genel Değerlendirme Raporu, Faaliyet Genel Değerlendirme Raporu,</w:t>
                  </w:r>
                  <w:r w:rsidRPr="00A53994">
                    <w:rPr>
                      <w:rFonts w:ascii="Times New Roman" w:eastAsia="Times New Roman" w:hAnsi="Times New Roman" w:cs="Times New Roman"/>
                      <w:sz w:val="24"/>
                      <w:szCs w:val="24"/>
                      <w:lang w:eastAsia="tr-TR"/>
                    </w:rPr>
                    <w:t> </w:t>
                  </w:r>
                  <w:r w:rsidRPr="00A53994">
                    <w:rPr>
                      <w:rFonts w:ascii="Times New Roman" w:eastAsia="Times New Roman" w:hAnsi="Times New Roman" w:cs="Times New Roman"/>
                      <w:b/>
                      <w:bCs/>
                      <w:sz w:val="24"/>
                      <w:szCs w:val="24"/>
                      <w:lang w:eastAsia="tr-TR"/>
                    </w:rPr>
                    <w:t xml:space="preserve">Mali İstatistikleri Değerlendirme Raporu </w:t>
                  </w:r>
                  <w:proofErr w:type="spellStart"/>
                  <w:r w:rsidRPr="00A53994">
                    <w:rPr>
                      <w:rFonts w:ascii="Times New Roman" w:eastAsia="Times New Roman" w:hAnsi="Times New Roman" w:cs="Times New Roman"/>
                      <w:b/>
                      <w:bCs/>
                      <w:sz w:val="24"/>
                      <w:szCs w:val="24"/>
                      <w:lang w:eastAsia="tr-TR"/>
                    </w:rPr>
                    <w:t>vb</w:t>
                  </w:r>
                  <w:proofErr w:type="spellEnd"/>
                  <w:r w:rsidRPr="00A53994">
                    <w:rPr>
                      <w:rFonts w:ascii="Times New Roman" w:eastAsia="Times New Roman" w:hAnsi="Times New Roman" w:cs="Times New Roman"/>
                      <w:b/>
                      <w:bCs/>
                      <w:sz w:val="24"/>
                      <w:szCs w:val="24"/>
                      <w:lang w:eastAsia="tr-TR"/>
                    </w:rPr>
                    <w:t>) </w:t>
                  </w:r>
                  <w:r w:rsidRPr="00A53994">
                    <w:rPr>
                      <w:rFonts w:ascii="Times New Roman" w:eastAsia="Times New Roman" w:hAnsi="Times New Roman" w:cs="Times New Roman"/>
                      <w:sz w:val="24"/>
                      <w:szCs w:val="24"/>
                      <w:lang w:eastAsia="tr-TR"/>
                    </w:rPr>
                    <w:t>başka raporlar da düzenlenmektedir.</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Kamu idarelerinin 2017 yılı faaliyetlerine yönelik düzenlenmiş bu raporların mahalli idareler bölümlerinde, belediyelere yönelik olarak Sayıştay tarafından tespit edilebilmiş olan bazı hata/ noksanlık/eleştiri ve yolsuzluk örneklerine de yer verilmiştir.</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b/>
                      <w:bCs/>
                      <w:sz w:val="24"/>
                      <w:szCs w:val="24"/>
                      <w:u w:val="single"/>
                      <w:lang w:eastAsia="tr-TR"/>
                    </w:rPr>
                  </w:pPr>
                  <w:r w:rsidRPr="00A53994">
                    <w:rPr>
                      <w:rFonts w:ascii="Times New Roman" w:eastAsia="Times New Roman" w:hAnsi="Times New Roman" w:cs="Times New Roman"/>
                      <w:b/>
                      <w:bCs/>
                      <w:sz w:val="24"/>
                      <w:szCs w:val="24"/>
                      <w:u w:val="single"/>
                      <w:lang w:eastAsia="tr-TR"/>
                    </w:rPr>
                    <w:t>Sayıştay Başkanlığınca belediyelerde yürütülen denetimlerde görülmüş olup,</w:t>
                  </w:r>
                  <w:r w:rsidRPr="00A53994">
                    <w:rPr>
                      <w:rFonts w:ascii="Calibri" w:eastAsia="Times New Roman" w:hAnsi="Calibri" w:cs="Arial"/>
                      <w:u w:val="single"/>
                      <w:lang w:eastAsia="tr-TR"/>
                    </w:rPr>
                    <w:t> </w:t>
                  </w:r>
                  <w:r w:rsidRPr="00A53994">
                    <w:rPr>
                      <w:rFonts w:ascii="Times New Roman" w:eastAsia="Times New Roman" w:hAnsi="Times New Roman" w:cs="Times New Roman"/>
                      <w:b/>
                      <w:bCs/>
                      <w:sz w:val="24"/>
                      <w:szCs w:val="24"/>
                      <w:u w:val="single"/>
                      <w:lang w:eastAsia="tr-TR"/>
                    </w:rPr>
                    <w:t xml:space="preserve">sözü edilen bu raporlarda </w:t>
                  </w:r>
                  <w:proofErr w:type="gramStart"/>
                  <w:r w:rsidRPr="00A53994">
                    <w:rPr>
                      <w:rFonts w:ascii="Times New Roman" w:eastAsia="Times New Roman" w:hAnsi="Times New Roman" w:cs="Times New Roman"/>
                      <w:b/>
                      <w:bCs/>
                      <w:sz w:val="24"/>
                      <w:szCs w:val="24"/>
                      <w:u w:val="single"/>
                      <w:lang w:eastAsia="tr-TR"/>
                    </w:rPr>
                    <w:t>belirtilen  (</w:t>
                  </w:r>
                  <w:proofErr w:type="gramEnd"/>
                  <w:r w:rsidRPr="00A53994">
                    <w:rPr>
                      <w:rFonts w:ascii="Times New Roman" w:eastAsia="Times New Roman" w:hAnsi="Times New Roman" w:cs="Times New Roman"/>
                      <w:b/>
                      <w:bCs/>
                      <w:sz w:val="24"/>
                      <w:szCs w:val="24"/>
                      <w:u w:val="single"/>
                      <w:lang w:eastAsia="tr-TR"/>
                    </w:rPr>
                    <w:t>hata/noksanlık/eleştiri/yolsuzluğa açık alanlara yönelik) tespitler öz olarak aşağıya çıkarılmıştır.</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b/>
                      <w:bCs/>
                      <w:sz w:val="24"/>
                      <w:szCs w:val="24"/>
                      <w:lang w:eastAsia="tr-TR"/>
                    </w:rPr>
                    <w:t>1-2017 Yılı Dış Denetim Genel Değerlendirme Raporunda Yer Alan Tespitler</w:t>
                  </w: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b/>
                      <w:bCs/>
                      <w:sz w:val="24"/>
                      <w:szCs w:val="24"/>
                      <w:lang w:eastAsia="tr-TR"/>
                    </w:rPr>
                    <w:t> </w:t>
                  </w:r>
                </w:p>
                <w:p w:rsidR="00A53994" w:rsidRPr="00A53994" w:rsidRDefault="00A53994" w:rsidP="00F23F35">
                  <w:pPr>
                    <w:spacing w:after="0" w:line="253" w:lineRule="atLeast"/>
                    <w:jc w:val="both"/>
                    <w:rPr>
                      <w:rFonts w:ascii="Calibri" w:eastAsia="Times New Roman" w:hAnsi="Calibri" w:cs="Arial"/>
                      <w:lang w:eastAsia="tr-TR"/>
                    </w:rPr>
                  </w:pPr>
                  <w:proofErr w:type="gramStart"/>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b/>
                      <w:bCs/>
                      <w:sz w:val="24"/>
                      <w:szCs w:val="24"/>
                      <w:lang w:eastAsia="tr-TR"/>
                    </w:rPr>
                    <w:t>2464</w:t>
                  </w:r>
                  <w:proofErr w:type="gramEnd"/>
                  <w:r w:rsidRPr="00A53994">
                    <w:rPr>
                      <w:rFonts w:ascii="Times New Roman" w:eastAsia="Times New Roman" w:hAnsi="Times New Roman" w:cs="Times New Roman"/>
                      <w:b/>
                      <w:bCs/>
                      <w:sz w:val="24"/>
                      <w:szCs w:val="24"/>
                      <w:lang w:eastAsia="tr-TR"/>
                    </w:rPr>
                    <w:t xml:space="preserve"> sayılı Belediye Gelirleri Kanununda yer alan bazı belediye gelirlerinden</w:t>
                  </w:r>
                  <w:r w:rsidRPr="00A53994">
                    <w:rPr>
                      <w:rFonts w:ascii="Calibri" w:eastAsia="Times New Roman" w:hAnsi="Calibri" w:cs="Arial"/>
                      <w:lang w:eastAsia="tr-TR"/>
                    </w:rPr>
                    <w:t> </w:t>
                  </w:r>
                  <w:r w:rsidRPr="00A53994">
                    <w:rPr>
                      <w:rFonts w:ascii="Times New Roman" w:eastAsia="Times New Roman" w:hAnsi="Times New Roman" w:cs="Times New Roman"/>
                      <w:i/>
                      <w:iCs/>
                      <w:sz w:val="24"/>
                      <w:szCs w:val="24"/>
                      <w:lang w:eastAsia="tr-TR"/>
                    </w:rPr>
                    <w:t>(Kiraya verilmiş reklam panolarında yapılan reklamlardan reklam ve ilan vergisi, iş yeri açma ve çalışma ruhsat harcı, eğlence/haberleşme/elektrik ve havagazı tüketim vergisi, yeni yapılan kanalizasyon tesislerinden yararlananlardan alınması gereken katılma paylarından,</w:t>
                  </w:r>
                  <w:r w:rsidRPr="00A53994">
                    <w:rPr>
                      <w:rFonts w:ascii="Calibri" w:eastAsia="Times New Roman" w:hAnsi="Calibri" w:cs="Arial"/>
                      <w:lang w:eastAsia="tr-TR"/>
                    </w:rPr>
                    <w:t> </w:t>
                  </w:r>
                  <w:r w:rsidRPr="00A53994">
                    <w:rPr>
                      <w:rFonts w:ascii="Times New Roman" w:eastAsia="Times New Roman" w:hAnsi="Times New Roman" w:cs="Times New Roman"/>
                      <w:i/>
                      <w:iCs/>
                      <w:sz w:val="24"/>
                      <w:szCs w:val="24"/>
                      <w:lang w:eastAsia="tr-TR"/>
                    </w:rPr>
                    <w:t>)</w:t>
                  </w:r>
                  <w:r w:rsidRPr="00A53994">
                    <w:rPr>
                      <w:rFonts w:ascii="Times New Roman" w:eastAsia="Times New Roman" w:hAnsi="Times New Roman" w:cs="Times New Roman"/>
                      <w:b/>
                      <w:bCs/>
                      <w:sz w:val="24"/>
                      <w:szCs w:val="24"/>
                      <w:lang w:eastAsia="tr-TR"/>
                    </w:rPr>
                    <w:t>doğan alacaklara ilişkin tahakkuk/tahsilat işlemleri yapılmamaktadır.</w:t>
                  </w:r>
                </w:p>
                <w:p w:rsidR="00A53994" w:rsidRPr="00A53994" w:rsidRDefault="00A53994" w:rsidP="00F23F35">
                  <w:pPr>
                    <w:spacing w:after="0" w:line="253" w:lineRule="atLeast"/>
                    <w:jc w:val="both"/>
                    <w:rPr>
                      <w:rFonts w:ascii="Calibri" w:eastAsia="Times New Roman" w:hAnsi="Calibri" w:cs="Arial"/>
                      <w:lang w:eastAsia="tr-TR"/>
                    </w:rPr>
                  </w:pPr>
                  <w:proofErr w:type="gramStart"/>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b/>
                      <w:bCs/>
                      <w:sz w:val="24"/>
                      <w:szCs w:val="24"/>
                      <w:lang w:eastAsia="tr-TR"/>
                    </w:rPr>
                    <w:t>Emlak</w:t>
                  </w:r>
                  <w:proofErr w:type="gramEnd"/>
                  <w:r w:rsidRPr="00A53994">
                    <w:rPr>
                      <w:rFonts w:ascii="Times New Roman" w:eastAsia="Times New Roman" w:hAnsi="Times New Roman" w:cs="Times New Roman"/>
                      <w:b/>
                      <w:bCs/>
                      <w:sz w:val="24"/>
                      <w:szCs w:val="24"/>
                      <w:lang w:eastAsia="tr-TR"/>
                    </w:rPr>
                    <w:t xml:space="preserve"> Vergisi tahakkuk ve tahsilatında mevzuat hükümlerine uyulmamaktadır. </w:t>
                  </w:r>
                  <w:proofErr w:type="gramStart"/>
                  <w:r w:rsidRPr="00A53994">
                    <w:rPr>
                      <w:rFonts w:ascii="Times New Roman" w:eastAsia="Times New Roman" w:hAnsi="Times New Roman" w:cs="Times New Roman"/>
                      <w:b/>
                      <w:bCs/>
                      <w:sz w:val="24"/>
                      <w:szCs w:val="24"/>
                      <w:lang w:eastAsia="tr-TR"/>
                    </w:rPr>
                    <w:t>( </w:t>
                  </w:r>
                  <w:r w:rsidRPr="00A53994">
                    <w:rPr>
                      <w:rFonts w:ascii="Times New Roman" w:eastAsia="Times New Roman" w:hAnsi="Times New Roman" w:cs="Times New Roman"/>
                      <w:i/>
                      <w:iCs/>
                      <w:sz w:val="24"/>
                      <w:szCs w:val="24"/>
                      <w:lang w:eastAsia="tr-TR"/>
                    </w:rPr>
                    <w:t>(</w:t>
                  </w:r>
                  <w:proofErr w:type="gramEnd"/>
                  <w:r w:rsidRPr="00A53994">
                    <w:rPr>
                      <w:rFonts w:ascii="Times New Roman" w:eastAsia="Times New Roman" w:hAnsi="Times New Roman" w:cs="Times New Roman"/>
                      <w:i/>
                      <w:iCs/>
                      <w:sz w:val="24"/>
                      <w:szCs w:val="24"/>
                      <w:lang w:eastAsia="tr-TR"/>
                    </w:rPr>
                    <w:t>Kamulaştırılan taşınmazdan ek/cezalı vergi alınmamakta, bina vergisi yerine arsa vergisi alınmakta, indirimden yararlanan mükellefler kontrol edilmemektedir.)</w:t>
                  </w:r>
                </w:p>
                <w:p w:rsidR="00A53994" w:rsidRPr="00A53994" w:rsidRDefault="00A53994" w:rsidP="00F23F35">
                  <w:pPr>
                    <w:spacing w:after="0" w:line="253" w:lineRule="atLeast"/>
                    <w:jc w:val="both"/>
                    <w:rPr>
                      <w:rFonts w:ascii="Calibri" w:eastAsia="Times New Roman" w:hAnsi="Calibri" w:cs="Arial"/>
                      <w:lang w:eastAsia="tr-TR"/>
                    </w:rPr>
                  </w:pPr>
                  <w:proofErr w:type="gramStart"/>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sz w:val="24"/>
                      <w:szCs w:val="24"/>
                      <w:lang w:eastAsia="tr-TR"/>
                    </w:rPr>
                    <w:t>Bazı</w:t>
                  </w:r>
                  <w:proofErr w:type="gramEnd"/>
                  <w:r w:rsidRPr="00A53994">
                    <w:rPr>
                      <w:rFonts w:ascii="Times New Roman" w:eastAsia="Times New Roman" w:hAnsi="Times New Roman" w:cs="Times New Roman"/>
                      <w:sz w:val="24"/>
                      <w:szCs w:val="24"/>
                      <w:lang w:eastAsia="tr-TR"/>
                    </w:rPr>
                    <w:t xml:space="preserve"> belediyelerde gelir tahsilat oranları düşük kalmaktadır.</w:t>
                  </w:r>
                </w:p>
                <w:p w:rsidR="00A53994" w:rsidRPr="00A53994" w:rsidRDefault="00A53994" w:rsidP="00F23F35">
                  <w:pPr>
                    <w:spacing w:after="0" w:line="253" w:lineRule="atLeast"/>
                    <w:jc w:val="both"/>
                    <w:rPr>
                      <w:rFonts w:ascii="Calibri" w:eastAsia="Times New Roman" w:hAnsi="Calibri" w:cs="Arial"/>
                      <w:lang w:eastAsia="tr-TR"/>
                    </w:rPr>
                  </w:pPr>
                  <w:proofErr w:type="gramStart"/>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sz w:val="24"/>
                      <w:szCs w:val="24"/>
                      <w:lang w:eastAsia="tr-TR"/>
                    </w:rPr>
                    <w:t>Evsel</w:t>
                  </w:r>
                  <w:proofErr w:type="gramEnd"/>
                  <w:r w:rsidRPr="00A53994">
                    <w:rPr>
                      <w:rFonts w:ascii="Times New Roman" w:eastAsia="Times New Roman" w:hAnsi="Times New Roman" w:cs="Times New Roman"/>
                      <w:sz w:val="24"/>
                      <w:szCs w:val="24"/>
                      <w:lang w:eastAsia="tr-TR"/>
                    </w:rPr>
                    <w:t xml:space="preserve"> katı atıkların toplanması, taşınması ve ortadan kaldırılmasına ilişkin tarifeler belirlenmemekte ve bu ücretlerin takip ve tahsili yapılmamaktadır.</w:t>
                  </w:r>
                </w:p>
                <w:p w:rsidR="00A53994" w:rsidRPr="00A53994" w:rsidRDefault="00A53994" w:rsidP="00F23F35">
                  <w:pPr>
                    <w:spacing w:after="0" w:line="253" w:lineRule="atLeast"/>
                    <w:jc w:val="both"/>
                    <w:rPr>
                      <w:rFonts w:ascii="Calibri" w:eastAsia="Times New Roman" w:hAnsi="Calibri" w:cs="Arial"/>
                      <w:lang w:eastAsia="tr-TR"/>
                    </w:rPr>
                  </w:pPr>
                  <w:proofErr w:type="gramStart"/>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b/>
                      <w:bCs/>
                      <w:sz w:val="24"/>
                      <w:szCs w:val="24"/>
                      <w:lang w:eastAsia="tr-TR"/>
                    </w:rPr>
                    <w:t>Otopark</w:t>
                  </w:r>
                  <w:proofErr w:type="gramEnd"/>
                  <w:r w:rsidRPr="00A53994">
                    <w:rPr>
                      <w:rFonts w:ascii="Times New Roman" w:eastAsia="Times New Roman" w:hAnsi="Times New Roman" w:cs="Times New Roman"/>
                      <w:b/>
                      <w:bCs/>
                      <w:sz w:val="24"/>
                      <w:szCs w:val="24"/>
                      <w:lang w:eastAsia="tr-TR"/>
                    </w:rPr>
                    <w:t xml:space="preserve"> Yönetmeliği hükümlerine uyulmamakta</w:t>
                  </w:r>
                  <w:r w:rsidRPr="00A53994">
                    <w:rPr>
                      <w:rFonts w:ascii="Times New Roman" w:eastAsia="Times New Roman" w:hAnsi="Times New Roman" w:cs="Times New Roman"/>
                      <w:sz w:val="24"/>
                      <w:szCs w:val="24"/>
                      <w:lang w:eastAsia="tr-TR"/>
                    </w:rPr>
                    <w:t xml:space="preserve">, otopark paraları vadeli olarak değerlendirilmemekte, ayrı bir hesap üzerinden izlenmemekte, paralar amaç dışı harcanmaktadır. Büyükşehir Belediyesi Kanununda yer alan otopark işletilmesi ve gelirlerinin takip ve tahsiline ilişkin özel hükümler </w:t>
                  </w:r>
                  <w:proofErr w:type="spellStart"/>
                  <w:r w:rsidRPr="00A53994">
                    <w:rPr>
                      <w:rFonts w:ascii="Times New Roman" w:eastAsia="Times New Roman" w:hAnsi="Times New Roman" w:cs="Times New Roman"/>
                      <w:sz w:val="24"/>
                      <w:szCs w:val="24"/>
                      <w:lang w:eastAsia="tr-TR"/>
                    </w:rPr>
                    <w:t>gözardı</w:t>
                  </w:r>
                  <w:proofErr w:type="spellEnd"/>
                  <w:r w:rsidRPr="00A53994">
                    <w:rPr>
                      <w:rFonts w:ascii="Times New Roman" w:eastAsia="Times New Roman" w:hAnsi="Times New Roman" w:cs="Times New Roman"/>
                      <w:sz w:val="24"/>
                      <w:szCs w:val="24"/>
                      <w:lang w:eastAsia="tr-TR"/>
                    </w:rPr>
                    <w:t xml:space="preserve"> edilmektedir.</w:t>
                  </w:r>
                </w:p>
                <w:p w:rsidR="00A53994" w:rsidRPr="00A53994" w:rsidRDefault="00A53994" w:rsidP="00F23F35">
                  <w:pPr>
                    <w:spacing w:after="0" w:line="253" w:lineRule="atLeast"/>
                    <w:jc w:val="both"/>
                    <w:rPr>
                      <w:rFonts w:ascii="Calibri" w:eastAsia="Times New Roman" w:hAnsi="Calibri" w:cs="Arial"/>
                      <w:lang w:eastAsia="tr-TR"/>
                    </w:rPr>
                  </w:pPr>
                  <w:proofErr w:type="gramStart"/>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sz w:val="24"/>
                      <w:szCs w:val="24"/>
                      <w:lang w:eastAsia="tr-TR"/>
                    </w:rPr>
                    <w:t>Gecekondu</w:t>
                  </w:r>
                  <w:proofErr w:type="gramEnd"/>
                  <w:r w:rsidRPr="00A53994">
                    <w:rPr>
                      <w:rFonts w:ascii="Times New Roman" w:eastAsia="Times New Roman" w:hAnsi="Times New Roman" w:cs="Times New Roman"/>
                      <w:sz w:val="24"/>
                      <w:szCs w:val="24"/>
                      <w:lang w:eastAsia="tr-TR"/>
                    </w:rPr>
                    <w:t xml:space="preserve"> Kanunu gereğince oluşturulan Fon gelirleri amacı dışında kullanılmakta, takip ve tahsilinde sorunlar yaşanmaktadır.</w:t>
                  </w:r>
                </w:p>
                <w:p w:rsidR="00A53994" w:rsidRPr="00A53994" w:rsidRDefault="00A53994" w:rsidP="00F23F35">
                  <w:pPr>
                    <w:spacing w:after="0" w:line="253" w:lineRule="atLeast"/>
                    <w:jc w:val="both"/>
                    <w:rPr>
                      <w:rFonts w:ascii="Calibri" w:eastAsia="Times New Roman" w:hAnsi="Calibri" w:cs="Arial"/>
                      <w:lang w:eastAsia="tr-TR"/>
                    </w:rPr>
                  </w:pPr>
                  <w:r w:rsidRPr="00A53994">
                    <w:rPr>
                      <w:rFonts w:ascii="Times New Roman" w:eastAsia="Times New Roman" w:hAnsi="Times New Roman" w:cs="Times New Roman"/>
                      <w:i/>
                      <w:iCs/>
                      <w:sz w:val="24"/>
                      <w:szCs w:val="24"/>
                      <w:lang w:eastAsia="tr-TR"/>
                    </w:rPr>
                    <w:t>(Fon gelirleri için özel/vadeli hesap açılmamakta, Hazineye ait taşınmazların satışından alınması gereken payların takibi yapılmaktadır.</w:t>
                  </w:r>
                  <w:r w:rsidRPr="00A53994">
                    <w:rPr>
                      <w:rFonts w:ascii="Times New Roman" w:eastAsia="Times New Roman" w:hAnsi="Times New Roman" w:cs="Times New Roman"/>
                      <w:sz w:val="24"/>
                      <w:szCs w:val="24"/>
                      <w:lang w:eastAsia="tr-TR"/>
                    </w:rPr>
                    <w:t>)</w:t>
                  </w:r>
                </w:p>
                <w:p w:rsidR="00A53994" w:rsidRPr="00A53994" w:rsidRDefault="00A53994" w:rsidP="00F23F35">
                  <w:pPr>
                    <w:spacing w:after="0" w:line="253" w:lineRule="atLeast"/>
                    <w:jc w:val="both"/>
                    <w:rPr>
                      <w:rFonts w:ascii="Calibri" w:eastAsia="Times New Roman" w:hAnsi="Calibri" w:cs="Arial"/>
                      <w:lang w:eastAsia="tr-TR"/>
                    </w:rPr>
                  </w:pPr>
                  <w:proofErr w:type="gramStart"/>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sz w:val="24"/>
                      <w:szCs w:val="24"/>
                      <w:lang w:eastAsia="tr-TR"/>
                    </w:rPr>
                    <w:t>Telekomünikasyon</w:t>
                  </w:r>
                  <w:proofErr w:type="gramEnd"/>
                  <w:r w:rsidRPr="00A53994">
                    <w:rPr>
                      <w:rFonts w:ascii="Times New Roman" w:eastAsia="Times New Roman" w:hAnsi="Times New Roman" w:cs="Times New Roman"/>
                      <w:sz w:val="24"/>
                      <w:szCs w:val="24"/>
                      <w:lang w:eastAsia="tr-TR"/>
                    </w:rPr>
                    <w:t xml:space="preserve"> altyapı ve şebekelerinden alınması gereken geçiş hakkı bedelleri takip ve tahsil edilmemektedir.</w:t>
                  </w:r>
                </w:p>
                <w:p w:rsidR="00A53994" w:rsidRPr="00A53994" w:rsidRDefault="00A53994" w:rsidP="00F23F35">
                  <w:pPr>
                    <w:spacing w:after="0" w:line="253" w:lineRule="atLeast"/>
                    <w:jc w:val="both"/>
                    <w:rPr>
                      <w:rFonts w:ascii="Calibri" w:eastAsia="Times New Roman" w:hAnsi="Calibri" w:cs="Arial"/>
                      <w:lang w:eastAsia="tr-TR"/>
                    </w:rPr>
                  </w:pPr>
                  <w:proofErr w:type="gramStart"/>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b/>
                      <w:bCs/>
                      <w:sz w:val="24"/>
                      <w:szCs w:val="24"/>
                      <w:lang w:eastAsia="tr-TR"/>
                    </w:rPr>
                    <w:t>Ambalaj</w:t>
                  </w:r>
                  <w:proofErr w:type="gramEnd"/>
                  <w:r w:rsidRPr="00A53994">
                    <w:rPr>
                      <w:rFonts w:ascii="Times New Roman" w:eastAsia="Times New Roman" w:hAnsi="Times New Roman" w:cs="Times New Roman"/>
                      <w:b/>
                      <w:bCs/>
                      <w:sz w:val="24"/>
                      <w:szCs w:val="24"/>
                      <w:lang w:eastAsia="tr-TR"/>
                    </w:rPr>
                    <w:t xml:space="preserve"> atıklarının toplanması için imtiyaz hakkı ihale edilmeksizin</w:t>
                  </w:r>
                  <w:r w:rsidRPr="00A53994">
                    <w:rPr>
                      <w:rFonts w:ascii="Times New Roman" w:eastAsia="Times New Roman" w:hAnsi="Times New Roman" w:cs="Times New Roman"/>
                      <w:sz w:val="24"/>
                      <w:szCs w:val="24"/>
                      <w:lang w:eastAsia="tr-TR"/>
                    </w:rPr>
                    <w:t> ve gelir elde </w:t>
                  </w:r>
                  <w:r w:rsidRPr="00A53994">
                    <w:rPr>
                      <w:rFonts w:ascii="Times New Roman" w:eastAsia="Times New Roman" w:hAnsi="Times New Roman" w:cs="Times New Roman"/>
                      <w:b/>
                      <w:bCs/>
                      <w:sz w:val="24"/>
                      <w:szCs w:val="24"/>
                      <w:lang w:eastAsia="tr-TR"/>
                    </w:rPr>
                    <w:t>edilmeksizin şirketlere devredilmektedir.</w:t>
                  </w:r>
                </w:p>
                <w:p w:rsidR="00A53994" w:rsidRPr="00A53994" w:rsidRDefault="00A53994" w:rsidP="00F23F35">
                  <w:pPr>
                    <w:spacing w:after="0" w:line="253" w:lineRule="atLeast"/>
                    <w:jc w:val="both"/>
                    <w:rPr>
                      <w:rFonts w:ascii="Calibri" w:eastAsia="Times New Roman" w:hAnsi="Calibri" w:cs="Arial"/>
                      <w:lang w:eastAsia="tr-TR"/>
                    </w:rPr>
                  </w:pPr>
                  <w:proofErr w:type="gramStart"/>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b/>
                      <w:bCs/>
                      <w:sz w:val="24"/>
                      <w:szCs w:val="24"/>
                      <w:lang w:eastAsia="tr-TR"/>
                    </w:rPr>
                    <w:t>Toplu</w:t>
                  </w:r>
                  <w:proofErr w:type="gramEnd"/>
                  <w:r w:rsidRPr="00A53994">
                    <w:rPr>
                      <w:rFonts w:ascii="Times New Roman" w:eastAsia="Times New Roman" w:hAnsi="Times New Roman" w:cs="Times New Roman"/>
                      <w:b/>
                      <w:bCs/>
                      <w:sz w:val="24"/>
                      <w:szCs w:val="24"/>
                      <w:lang w:eastAsia="tr-TR"/>
                    </w:rPr>
                    <w:t xml:space="preserve"> taşıma imtiyaz hakkı ihalesiz devredilmekte</w:t>
                  </w:r>
                  <w:r w:rsidRPr="00A53994">
                    <w:rPr>
                      <w:rFonts w:ascii="Times New Roman" w:eastAsia="Times New Roman" w:hAnsi="Times New Roman" w:cs="Times New Roman"/>
                      <w:sz w:val="24"/>
                      <w:szCs w:val="24"/>
                      <w:lang w:eastAsia="tr-TR"/>
                    </w:rPr>
                    <w:t> veya ihalelerde süre belirtilmemektedir.</w:t>
                  </w:r>
                </w:p>
                <w:p w:rsidR="00A53994" w:rsidRPr="00A53994" w:rsidRDefault="00A53994" w:rsidP="00F23F35">
                  <w:pPr>
                    <w:spacing w:after="0" w:line="253" w:lineRule="atLeast"/>
                    <w:jc w:val="both"/>
                    <w:rPr>
                      <w:rFonts w:ascii="Calibri" w:eastAsia="Times New Roman" w:hAnsi="Calibri" w:cs="Arial"/>
                      <w:lang w:eastAsia="tr-TR"/>
                    </w:rPr>
                  </w:pPr>
                  <w:proofErr w:type="gramStart"/>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sz w:val="24"/>
                      <w:szCs w:val="24"/>
                      <w:lang w:eastAsia="tr-TR"/>
                    </w:rPr>
                    <w:t>Belediye</w:t>
                  </w:r>
                  <w:proofErr w:type="gramEnd"/>
                  <w:r w:rsidRPr="00A53994">
                    <w:rPr>
                      <w:rFonts w:ascii="Times New Roman" w:eastAsia="Times New Roman" w:hAnsi="Times New Roman" w:cs="Times New Roman"/>
                      <w:sz w:val="24"/>
                      <w:szCs w:val="24"/>
                      <w:lang w:eastAsia="tr-TR"/>
                    </w:rPr>
                    <w:t xml:space="preserve"> ve bağlı kuruluşlarının borçlanma işlemlerinde Belediye Kanunu’nda öngörülen limite uyulmamaktadır.</w:t>
                  </w:r>
                </w:p>
                <w:p w:rsidR="00A53994" w:rsidRPr="00A53994" w:rsidRDefault="00A53994" w:rsidP="00F23F35">
                  <w:pPr>
                    <w:spacing w:after="0" w:line="253" w:lineRule="atLeast"/>
                    <w:jc w:val="both"/>
                    <w:rPr>
                      <w:rFonts w:ascii="Calibri" w:eastAsia="Times New Roman" w:hAnsi="Calibri" w:cs="Arial"/>
                      <w:lang w:eastAsia="tr-TR"/>
                    </w:rPr>
                  </w:pPr>
                  <w:proofErr w:type="gramStart"/>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sz w:val="24"/>
                      <w:szCs w:val="24"/>
                      <w:lang w:eastAsia="tr-TR"/>
                    </w:rPr>
                    <w:t>İşyeri</w:t>
                  </w:r>
                  <w:proofErr w:type="gramEnd"/>
                  <w:r w:rsidRPr="00A53994">
                    <w:rPr>
                      <w:rFonts w:ascii="Times New Roman" w:eastAsia="Times New Roman" w:hAnsi="Times New Roman" w:cs="Times New Roman"/>
                      <w:sz w:val="24"/>
                      <w:szCs w:val="24"/>
                      <w:lang w:eastAsia="tr-TR"/>
                    </w:rPr>
                    <w:t xml:space="preserve"> açma ve çalışma ruhsatı olmadan faaliyette bulunan iş yerleri hakkında kapatma işlemi yapılmamakta ve idari para cezası kesilmemektedir.</w:t>
                  </w:r>
                </w:p>
                <w:p w:rsidR="00A53994" w:rsidRPr="00A53994" w:rsidRDefault="00A53994" w:rsidP="00F23F35">
                  <w:pPr>
                    <w:spacing w:after="0" w:line="253" w:lineRule="atLeast"/>
                    <w:jc w:val="both"/>
                    <w:rPr>
                      <w:rFonts w:ascii="Calibri" w:eastAsia="Times New Roman" w:hAnsi="Calibri" w:cs="Arial"/>
                      <w:lang w:eastAsia="tr-TR"/>
                    </w:rPr>
                  </w:pPr>
                  <w:proofErr w:type="gramStart"/>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b/>
                      <w:bCs/>
                      <w:sz w:val="24"/>
                      <w:szCs w:val="24"/>
                      <w:lang w:eastAsia="tr-TR"/>
                    </w:rPr>
                    <w:t>Belediye</w:t>
                  </w:r>
                  <w:proofErr w:type="gramEnd"/>
                  <w:r w:rsidRPr="00A53994">
                    <w:rPr>
                      <w:rFonts w:ascii="Times New Roman" w:eastAsia="Times New Roman" w:hAnsi="Times New Roman" w:cs="Times New Roman"/>
                      <w:b/>
                      <w:bCs/>
                      <w:sz w:val="24"/>
                      <w:szCs w:val="24"/>
                      <w:lang w:eastAsia="tr-TR"/>
                    </w:rPr>
                    <w:t xml:space="preserve"> taşınmazlarının yönetilmesi, kiraya verilmesi ve tahsis işlemlerinde mevzuat hükümlerine uyulmamaktadır.</w:t>
                  </w:r>
                </w:p>
                <w:p w:rsidR="00A53994" w:rsidRPr="00A53994" w:rsidRDefault="00A53994" w:rsidP="00F23F35">
                  <w:pPr>
                    <w:spacing w:after="0" w:line="253" w:lineRule="atLeast"/>
                    <w:jc w:val="both"/>
                    <w:rPr>
                      <w:rFonts w:ascii="Calibri" w:eastAsia="Times New Roman" w:hAnsi="Calibri" w:cs="Arial"/>
                      <w:lang w:eastAsia="tr-TR"/>
                    </w:rPr>
                  </w:pPr>
                  <w:r w:rsidRPr="00A53994">
                    <w:rPr>
                      <w:rFonts w:ascii="Times New Roman" w:eastAsia="Times New Roman" w:hAnsi="Times New Roman" w:cs="Times New Roman"/>
                      <w:i/>
                      <w:iCs/>
                      <w:sz w:val="24"/>
                      <w:szCs w:val="24"/>
                      <w:lang w:eastAsia="tr-TR"/>
                    </w:rPr>
                    <w:t>(Taşınmazlar ihalesiz kiraya verilmekte, kira süresi sonunda yeniden ihalesi yapılmamaktadır.</w:t>
                  </w:r>
                  <w:r w:rsidRPr="00A53994">
                    <w:rPr>
                      <w:rFonts w:ascii="Calibri" w:eastAsia="Times New Roman" w:hAnsi="Calibri" w:cs="Arial"/>
                      <w:i/>
                      <w:iCs/>
                      <w:lang w:eastAsia="tr-TR"/>
                    </w:rPr>
                    <w:t> </w:t>
                  </w:r>
                  <w:r w:rsidRPr="00A53994">
                    <w:rPr>
                      <w:rFonts w:ascii="Times New Roman" w:eastAsia="Times New Roman" w:hAnsi="Times New Roman" w:cs="Times New Roman"/>
                      <w:i/>
                      <w:iCs/>
                      <w:sz w:val="24"/>
                      <w:szCs w:val="24"/>
                      <w:lang w:eastAsia="tr-TR"/>
                    </w:rPr>
                    <w:t xml:space="preserve">Kiralama yerine </w:t>
                  </w:r>
                  <w:proofErr w:type="spellStart"/>
                  <w:r w:rsidRPr="00A53994">
                    <w:rPr>
                      <w:rFonts w:ascii="Times New Roman" w:eastAsia="Times New Roman" w:hAnsi="Times New Roman" w:cs="Times New Roman"/>
                      <w:i/>
                      <w:iCs/>
                      <w:sz w:val="24"/>
                      <w:szCs w:val="24"/>
                      <w:lang w:eastAsia="tr-TR"/>
                    </w:rPr>
                    <w:t>ercimisil</w:t>
                  </w:r>
                  <w:proofErr w:type="spellEnd"/>
                  <w:r w:rsidRPr="00A53994">
                    <w:rPr>
                      <w:rFonts w:ascii="Times New Roman" w:eastAsia="Times New Roman" w:hAnsi="Times New Roman" w:cs="Times New Roman"/>
                      <w:i/>
                      <w:iCs/>
                      <w:sz w:val="24"/>
                      <w:szCs w:val="24"/>
                      <w:lang w:eastAsia="tr-TR"/>
                    </w:rPr>
                    <w:t xml:space="preserve"> uygulanmakta ve taşınmazın işgaline süreklilik kazandırılmaktadır. İşgal edilmiş taşınmazlardan </w:t>
                  </w:r>
                  <w:proofErr w:type="spellStart"/>
                  <w:r w:rsidRPr="00A53994">
                    <w:rPr>
                      <w:rFonts w:ascii="Times New Roman" w:eastAsia="Times New Roman" w:hAnsi="Times New Roman" w:cs="Times New Roman"/>
                      <w:i/>
                      <w:iCs/>
                      <w:sz w:val="24"/>
                      <w:szCs w:val="24"/>
                      <w:lang w:eastAsia="tr-TR"/>
                    </w:rPr>
                    <w:t>ercimisil</w:t>
                  </w:r>
                  <w:proofErr w:type="spellEnd"/>
                  <w:r w:rsidRPr="00A53994">
                    <w:rPr>
                      <w:rFonts w:ascii="Times New Roman" w:eastAsia="Times New Roman" w:hAnsi="Times New Roman" w:cs="Times New Roman"/>
                      <w:i/>
                      <w:iCs/>
                      <w:sz w:val="24"/>
                      <w:szCs w:val="24"/>
                      <w:lang w:eastAsia="tr-TR"/>
                    </w:rPr>
                    <w:t xml:space="preserve"> tahsil edilmemektedir. Belediye şirketlerine kiralanan taşınmazlar ihalesiz üçüncü </w:t>
                  </w:r>
                  <w:proofErr w:type="spellStart"/>
                  <w:r w:rsidRPr="00A53994">
                    <w:rPr>
                      <w:rFonts w:ascii="Times New Roman" w:eastAsia="Times New Roman" w:hAnsi="Times New Roman" w:cs="Times New Roman"/>
                      <w:i/>
                      <w:iCs/>
                      <w:sz w:val="24"/>
                      <w:szCs w:val="24"/>
                      <w:lang w:eastAsia="tr-TR"/>
                    </w:rPr>
                    <w:t>kişlere</w:t>
                  </w:r>
                  <w:proofErr w:type="spellEnd"/>
                  <w:r w:rsidRPr="00A53994">
                    <w:rPr>
                      <w:rFonts w:ascii="Times New Roman" w:eastAsia="Times New Roman" w:hAnsi="Times New Roman" w:cs="Times New Roman"/>
                      <w:i/>
                      <w:iCs/>
                      <w:sz w:val="24"/>
                      <w:szCs w:val="24"/>
                      <w:lang w:eastAsia="tr-TR"/>
                    </w:rPr>
                    <w:t xml:space="preserve"> devir edilmektedir. Kamu kurum ve kuruluşu niteliğinde olmayan vakıf/dernek vb. kuruluşlara tahsisler yapılmaktadır. Belediyeye bağışlanan taşınmazlar muhasebe kayıtlarına alınmamaktadır.)</w:t>
                  </w:r>
                </w:p>
                <w:p w:rsidR="00A53994" w:rsidRPr="00A53994" w:rsidRDefault="00A53994" w:rsidP="00F23F35">
                  <w:pPr>
                    <w:spacing w:after="0" w:line="253" w:lineRule="atLeast"/>
                    <w:jc w:val="both"/>
                    <w:rPr>
                      <w:rFonts w:ascii="Calibri" w:eastAsia="Times New Roman" w:hAnsi="Calibri" w:cs="Arial"/>
                      <w:lang w:eastAsia="tr-TR"/>
                    </w:rPr>
                  </w:pPr>
                  <w:proofErr w:type="gramStart"/>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sz w:val="24"/>
                      <w:szCs w:val="24"/>
                      <w:lang w:eastAsia="tr-TR"/>
                    </w:rPr>
                    <w:t>Sosyal</w:t>
                  </w:r>
                  <w:proofErr w:type="gramEnd"/>
                  <w:r w:rsidRPr="00A53994">
                    <w:rPr>
                      <w:rFonts w:ascii="Times New Roman" w:eastAsia="Times New Roman" w:hAnsi="Times New Roman" w:cs="Times New Roman"/>
                      <w:sz w:val="24"/>
                      <w:szCs w:val="24"/>
                      <w:lang w:eastAsia="tr-TR"/>
                    </w:rPr>
                    <w:t xml:space="preserve"> denge sözleşmelerinde mevzuata aykırı hususlara yer verilmektedir. </w:t>
                  </w:r>
                  <w:proofErr w:type="gramStart"/>
                  <w:r w:rsidRPr="00A53994">
                    <w:rPr>
                      <w:rFonts w:ascii="Times New Roman" w:eastAsia="Times New Roman" w:hAnsi="Times New Roman" w:cs="Times New Roman"/>
                      <w:sz w:val="24"/>
                      <w:szCs w:val="24"/>
                      <w:lang w:eastAsia="tr-TR"/>
                    </w:rPr>
                    <w:t>( Limitler</w:t>
                  </w:r>
                  <w:proofErr w:type="gramEnd"/>
                  <w:r w:rsidRPr="00A53994">
                    <w:rPr>
                      <w:rFonts w:ascii="Times New Roman" w:eastAsia="Times New Roman" w:hAnsi="Times New Roman" w:cs="Times New Roman"/>
                      <w:sz w:val="24"/>
                      <w:szCs w:val="24"/>
                      <w:lang w:eastAsia="tr-TR"/>
                    </w:rPr>
                    <w:t xml:space="preserve"> aşılmakta, sözleşme/dayanışma aidatı verilmesi, ücretsiz ulaşım hakkı vb. konularda da düzenlemeler yapılmaktadır.)</w:t>
                  </w:r>
                </w:p>
                <w:p w:rsidR="00A53994" w:rsidRPr="00A53994" w:rsidRDefault="00A53994" w:rsidP="00F23F35">
                  <w:pPr>
                    <w:spacing w:after="0" w:line="253" w:lineRule="atLeast"/>
                    <w:jc w:val="both"/>
                    <w:rPr>
                      <w:rFonts w:ascii="Calibri" w:eastAsia="Times New Roman" w:hAnsi="Calibri" w:cs="Arial"/>
                      <w:lang w:eastAsia="tr-TR"/>
                    </w:rPr>
                  </w:pPr>
                  <w:proofErr w:type="gramStart"/>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sz w:val="24"/>
                      <w:szCs w:val="24"/>
                      <w:lang w:eastAsia="tr-TR"/>
                    </w:rPr>
                    <w:t>İndirilecek</w:t>
                  </w:r>
                  <w:proofErr w:type="gramEnd"/>
                  <w:r w:rsidRPr="00A53994">
                    <w:rPr>
                      <w:rFonts w:ascii="Times New Roman" w:eastAsia="Times New Roman" w:hAnsi="Times New Roman" w:cs="Times New Roman"/>
                      <w:sz w:val="24"/>
                      <w:szCs w:val="24"/>
                      <w:lang w:eastAsia="tr-TR"/>
                    </w:rPr>
                    <w:t xml:space="preserve"> KDV hesabında hata yapılmakta ve dolaysıyla vergi dairesine daha az KDV ödenmektedir.</w:t>
                  </w:r>
                </w:p>
                <w:p w:rsidR="00A53994" w:rsidRPr="00A53994" w:rsidRDefault="00A53994" w:rsidP="00F23F35">
                  <w:pPr>
                    <w:spacing w:after="0" w:line="253" w:lineRule="atLeast"/>
                    <w:jc w:val="both"/>
                    <w:rPr>
                      <w:rFonts w:ascii="Calibri" w:eastAsia="Times New Roman" w:hAnsi="Calibri" w:cs="Arial"/>
                      <w:lang w:eastAsia="tr-TR"/>
                    </w:rPr>
                  </w:pPr>
                  <w:proofErr w:type="gramStart"/>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sz w:val="24"/>
                      <w:szCs w:val="24"/>
                      <w:lang w:eastAsia="tr-TR"/>
                    </w:rPr>
                    <w:t>Doğalgaz</w:t>
                  </w:r>
                  <w:proofErr w:type="gramEnd"/>
                  <w:r w:rsidRPr="00A53994">
                    <w:rPr>
                      <w:rFonts w:ascii="Times New Roman" w:eastAsia="Times New Roman" w:hAnsi="Times New Roman" w:cs="Times New Roman"/>
                      <w:sz w:val="24"/>
                      <w:szCs w:val="24"/>
                      <w:lang w:eastAsia="tr-TR"/>
                    </w:rPr>
                    <w:t xml:space="preserve"> dağıtım şirketindeki ortaklık payı muhasebe kayıtlarına yansıtılmamaktadır.</w:t>
                  </w:r>
                </w:p>
                <w:p w:rsidR="00A53994" w:rsidRPr="00A53994" w:rsidRDefault="00A53994" w:rsidP="00F23F35">
                  <w:pPr>
                    <w:spacing w:after="0" w:line="253" w:lineRule="atLeast"/>
                    <w:jc w:val="both"/>
                    <w:rPr>
                      <w:rFonts w:ascii="Calibri" w:eastAsia="Times New Roman" w:hAnsi="Calibri" w:cs="Arial"/>
                      <w:lang w:eastAsia="tr-TR"/>
                    </w:rPr>
                  </w:pPr>
                  <w:proofErr w:type="gramStart"/>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sz w:val="24"/>
                      <w:szCs w:val="24"/>
                      <w:lang w:eastAsia="tr-TR"/>
                    </w:rPr>
                    <w:t>Belediyeler</w:t>
                  </w:r>
                  <w:proofErr w:type="gramEnd"/>
                  <w:r w:rsidRPr="00A53994">
                    <w:rPr>
                      <w:rFonts w:ascii="Times New Roman" w:eastAsia="Times New Roman" w:hAnsi="Times New Roman" w:cs="Times New Roman"/>
                      <w:sz w:val="24"/>
                      <w:szCs w:val="24"/>
                      <w:lang w:eastAsia="tr-TR"/>
                    </w:rPr>
                    <w:t xml:space="preserve"> tarafından tahsil edilen Taşınmaz Kültür Varlıklarının Korunması Katkı Payı ilgili idarelere yatırılmamakta veya geç yatırılmaktadır.</w:t>
                  </w:r>
                  <w:r w:rsidR="00F23F35">
                    <w:rPr>
                      <w:rFonts w:ascii="Times New Roman" w:eastAsia="Times New Roman" w:hAnsi="Times New Roman" w:cs="Times New Roman"/>
                      <w:sz w:val="24"/>
                      <w:szCs w:val="24"/>
                      <w:lang w:eastAsia="tr-TR"/>
                    </w:rPr>
                    <w:t xml:space="preserve"> </w:t>
                  </w:r>
                  <w:r w:rsidRPr="00A53994">
                    <w:rPr>
                      <w:rFonts w:ascii="Times New Roman" w:eastAsia="Times New Roman" w:hAnsi="Times New Roman" w:cs="Times New Roman"/>
                      <w:sz w:val="24"/>
                      <w:szCs w:val="24"/>
                      <w:lang w:eastAsia="tr-TR"/>
                    </w:rPr>
                    <w:t>(Sayıştay Dış Denetim, 2018: 63-78)</w:t>
                  </w:r>
                </w:p>
                <w:p w:rsidR="00A53994" w:rsidRDefault="00A53994" w:rsidP="00F23F35">
                  <w:pPr>
                    <w:spacing w:after="0" w:line="253" w:lineRule="atLeast"/>
                    <w:jc w:val="both"/>
                    <w:rPr>
                      <w:rFonts w:ascii="Times New Roman" w:eastAsia="Times New Roman" w:hAnsi="Times New Roman" w:cs="Times New Roman"/>
                      <w:b/>
                      <w:bCs/>
                      <w:sz w:val="24"/>
                      <w:szCs w:val="24"/>
                      <w:lang w:eastAsia="tr-TR"/>
                    </w:rPr>
                  </w:pPr>
                  <w:r w:rsidRPr="00A53994">
                    <w:rPr>
                      <w:rFonts w:ascii="Times New Roman" w:eastAsia="Times New Roman" w:hAnsi="Times New Roman" w:cs="Times New Roman"/>
                      <w:b/>
                      <w:bCs/>
                      <w:sz w:val="24"/>
                      <w:szCs w:val="24"/>
                      <w:lang w:eastAsia="tr-TR"/>
                    </w:rPr>
                    <w:lastRenderedPageBreak/>
                    <w:t>2- Sayıştay 2017 Yılı Faaliyet Genel Değerlendirme Raporunda Yer Alan (İçişleri Bakanlığı 2017 Yılı Mahalli İdareler Genel Faaliyet Raporuna) İlişkin Tespitler</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Pr="00A53994" w:rsidRDefault="00A53994" w:rsidP="00F23F35">
                  <w:pPr>
                    <w:spacing w:after="0" w:line="253" w:lineRule="atLeast"/>
                    <w:jc w:val="both"/>
                    <w:rPr>
                      <w:rFonts w:ascii="Calibri" w:eastAsia="Times New Roman" w:hAnsi="Calibri" w:cs="Arial"/>
                      <w:lang w:eastAsia="tr-TR"/>
                    </w:rPr>
                  </w:pPr>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b/>
                      <w:bCs/>
                      <w:sz w:val="24"/>
                      <w:szCs w:val="24"/>
                      <w:lang w:eastAsia="tr-TR"/>
                    </w:rPr>
                    <w:t>Faaliyet raporu; konuya ilişkin Yönetmeliğin 13’üncü maddesinde bilgileri ve değerlendirmeleri yeterince içermemektedir</w:t>
                  </w:r>
                  <w:r w:rsidRPr="00A53994">
                    <w:rPr>
                      <w:rFonts w:ascii="Times New Roman" w:eastAsia="Times New Roman" w:hAnsi="Times New Roman" w:cs="Times New Roman"/>
                      <w:sz w:val="24"/>
                      <w:szCs w:val="24"/>
                      <w:lang w:eastAsia="tr-TR"/>
                    </w:rPr>
                    <w:t>. </w:t>
                  </w:r>
                  <w:r w:rsidRPr="00A53994">
                    <w:rPr>
                      <w:rFonts w:ascii="Times New Roman" w:eastAsia="Times New Roman" w:hAnsi="Times New Roman" w:cs="Times New Roman"/>
                      <w:i/>
                      <w:iCs/>
                      <w:sz w:val="24"/>
                      <w:szCs w:val="24"/>
                      <w:lang w:eastAsia="tr-TR"/>
                    </w:rPr>
                    <w:t>(Raporda: Mali/performans ve diğer bilgilere; stratejik planlama ve performans esaslı bütçe uygulamaları; yıl içinde yapılan yatırımlar ile gelecek yıllara yaygın yüklenmeler,</w:t>
                  </w:r>
                  <w:r w:rsidRPr="00A53994">
                    <w:rPr>
                      <w:rFonts w:ascii="Times New Roman" w:eastAsia="Times New Roman" w:hAnsi="Times New Roman" w:cs="Times New Roman"/>
                      <w:i/>
                      <w:iCs/>
                      <w:lang w:eastAsia="tr-TR"/>
                    </w:rPr>
                    <w:t> bütçe gelir ve gider hedefleri ile gerçekleşme durumları, </w:t>
                  </w:r>
                  <w:r w:rsidRPr="00A53994">
                    <w:rPr>
                      <w:rFonts w:ascii="Times New Roman" w:eastAsia="Times New Roman" w:hAnsi="Times New Roman" w:cs="Times New Roman"/>
                      <w:i/>
                      <w:iCs/>
                      <w:sz w:val="24"/>
                      <w:szCs w:val="24"/>
                      <w:lang w:eastAsia="tr-TR"/>
                    </w:rPr>
                    <w:t>yapılan yatırımlar ve gelecek yıllara yaygın yüklenmeler, iç denetim sonuçlarına ilişkin bilgi ve genel değerlendirmelere yer verilmemiştir.)</w:t>
                  </w:r>
                </w:p>
                <w:p w:rsidR="00A53994" w:rsidRPr="00A53994" w:rsidRDefault="00A53994" w:rsidP="00F23F35">
                  <w:pPr>
                    <w:spacing w:after="0" w:line="253" w:lineRule="atLeast"/>
                    <w:jc w:val="both"/>
                    <w:rPr>
                      <w:rFonts w:ascii="Calibri" w:eastAsia="Times New Roman" w:hAnsi="Calibri" w:cs="Arial"/>
                      <w:lang w:eastAsia="tr-TR"/>
                    </w:rPr>
                  </w:pPr>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b/>
                      <w:bCs/>
                      <w:sz w:val="24"/>
                      <w:szCs w:val="24"/>
                      <w:lang w:eastAsia="tr-TR"/>
                    </w:rPr>
                    <w:t>Raporda yer verilmiş mali bilgiler yetersizdir.</w:t>
                  </w:r>
                </w:p>
                <w:p w:rsidR="00A53994" w:rsidRPr="00A53994" w:rsidRDefault="00A53994" w:rsidP="00F23F35">
                  <w:pPr>
                    <w:spacing w:after="0" w:line="253" w:lineRule="atLeast"/>
                    <w:jc w:val="both"/>
                    <w:rPr>
                      <w:rFonts w:ascii="Calibri" w:eastAsia="Times New Roman" w:hAnsi="Calibri" w:cs="Arial"/>
                      <w:lang w:eastAsia="tr-TR"/>
                    </w:rPr>
                  </w:pPr>
                  <w:r w:rsidRPr="00A53994">
                    <w:rPr>
                      <w:rFonts w:ascii="Times New Roman" w:eastAsia="Times New Roman" w:hAnsi="Times New Roman" w:cs="Times New Roman"/>
                      <w:b/>
                      <w:bCs/>
                      <w:sz w:val="24"/>
                      <w:szCs w:val="24"/>
                      <w:lang w:eastAsia="tr-TR"/>
                    </w:rPr>
                    <w:t>(</w:t>
                  </w:r>
                  <w:r w:rsidRPr="00A53994">
                    <w:rPr>
                      <w:rFonts w:ascii="Times New Roman" w:eastAsia="Times New Roman" w:hAnsi="Times New Roman" w:cs="Times New Roman"/>
                      <w:i/>
                      <w:iCs/>
                      <w:sz w:val="24"/>
                      <w:szCs w:val="24"/>
                      <w:lang w:eastAsia="tr-TR"/>
                    </w:rPr>
                    <w:t>Belediyelerin iç/dış borçlarına ilişkin bilgi ve değerlendirme içermemektedir.)</w:t>
                  </w:r>
                </w:p>
                <w:p w:rsidR="00A53994" w:rsidRPr="00A53994" w:rsidRDefault="00A53994" w:rsidP="00F23F35">
                  <w:pPr>
                    <w:spacing w:after="0" w:line="253" w:lineRule="atLeast"/>
                    <w:jc w:val="both"/>
                    <w:rPr>
                      <w:rFonts w:ascii="Calibri" w:eastAsia="Times New Roman" w:hAnsi="Calibri" w:cs="Arial"/>
                      <w:lang w:eastAsia="tr-TR"/>
                    </w:rPr>
                  </w:pPr>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b/>
                      <w:bCs/>
                      <w:sz w:val="24"/>
                      <w:szCs w:val="24"/>
                      <w:lang w:eastAsia="tr-TR"/>
                    </w:rPr>
                    <w:t>Mahalli idarelerin konsolide mali tabloları kapsam olarak hatalıdır. Tam ve doğru bilgi içermemektedir.</w:t>
                  </w:r>
                </w:p>
                <w:p w:rsidR="00A53994" w:rsidRPr="00A53994" w:rsidRDefault="00A53994" w:rsidP="00F23F35">
                  <w:pPr>
                    <w:spacing w:after="200" w:line="253" w:lineRule="atLeast"/>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w:t>
                  </w:r>
                  <w:r w:rsidRPr="00A53994">
                    <w:rPr>
                      <w:rFonts w:ascii="Times New Roman" w:eastAsia="Times New Roman" w:hAnsi="Times New Roman" w:cs="Times New Roman"/>
                      <w:b/>
                      <w:bCs/>
                      <w:sz w:val="18"/>
                      <w:szCs w:val="18"/>
                      <w:lang w:eastAsia="tr-TR"/>
                    </w:rPr>
                    <w:t> </w:t>
                  </w:r>
                  <w:r w:rsidRPr="00A53994">
                    <w:rPr>
                      <w:rFonts w:ascii="Times New Roman" w:eastAsia="Times New Roman" w:hAnsi="Times New Roman" w:cs="Times New Roman"/>
                      <w:i/>
                      <w:iCs/>
                      <w:sz w:val="24"/>
                      <w:szCs w:val="24"/>
                      <w:lang w:eastAsia="tr-TR"/>
                    </w:rPr>
                    <w:t xml:space="preserve">(Bilanço vb. mali tablolar, mahalli idare birimi olmayan kalkınma ajansları ve gençlik spor il müdürlüklerine ait mali verilerini de içermektedir. Temel mali tablolardan olan Faaliyet Sonuçları </w:t>
                  </w:r>
                  <w:proofErr w:type="spellStart"/>
                  <w:r w:rsidRPr="00A53994">
                    <w:rPr>
                      <w:rFonts w:ascii="Times New Roman" w:eastAsia="Times New Roman" w:hAnsi="Times New Roman" w:cs="Times New Roman"/>
                      <w:i/>
                      <w:iCs/>
                      <w:sz w:val="24"/>
                      <w:szCs w:val="24"/>
                      <w:lang w:eastAsia="tr-TR"/>
                    </w:rPr>
                    <w:t>Tablosune</w:t>
                  </w:r>
                  <w:proofErr w:type="spellEnd"/>
                  <w:r w:rsidRPr="00A53994">
                    <w:rPr>
                      <w:rFonts w:ascii="Times New Roman" w:eastAsia="Times New Roman" w:hAnsi="Times New Roman" w:cs="Times New Roman"/>
                      <w:i/>
                      <w:iCs/>
                      <w:sz w:val="24"/>
                      <w:szCs w:val="24"/>
                      <w:lang w:eastAsia="tr-TR"/>
                    </w:rPr>
                    <w:t xml:space="preserve"> yer verilmemiştir). </w:t>
                  </w:r>
                  <w:proofErr w:type="gramStart"/>
                  <w:r w:rsidRPr="00A53994">
                    <w:rPr>
                      <w:rFonts w:ascii="Times New Roman" w:eastAsia="Times New Roman" w:hAnsi="Times New Roman" w:cs="Times New Roman"/>
                      <w:sz w:val="24"/>
                      <w:szCs w:val="24"/>
                      <w:lang w:eastAsia="tr-TR"/>
                    </w:rPr>
                    <w:t>( Sayıştay</w:t>
                  </w:r>
                  <w:proofErr w:type="gramEnd"/>
                  <w:r w:rsidRPr="00A53994">
                    <w:rPr>
                      <w:rFonts w:ascii="Times New Roman" w:eastAsia="Times New Roman" w:hAnsi="Times New Roman" w:cs="Times New Roman"/>
                      <w:sz w:val="24"/>
                      <w:szCs w:val="24"/>
                      <w:lang w:eastAsia="tr-TR"/>
                    </w:rPr>
                    <w:t xml:space="preserve"> Genel Faaliyet, 2017: 21-24</w:t>
                  </w:r>
                  <w:r w:rsidRPr="00A53994">
                    <w:rPr>
                      <w:rFonts w:ascii="Times New Roman" w:eastAsia="Times New Roman" w:hAnsi="Times New Roman" w:cs="Times New Roman"/>
                      <w:i/>
                      <w:iCs/>
                      <w:sz w:val="24"/>
                      <w:szCs w:val="24"/>
                      <w:lang w:eastAsia="tr-TR"/>
                    </w:rPr>
                    <w:t>)</w:t>
                  </w:r>
                </w:p>
                <w:p w:rsidR="00A53994" w:rsidRPr="00A53994" w:rsidRDefault="00A53994" w:rsidP="00A53994">
                  <w:pPr>
                    <w:spacing w:after="0" w:line="230" w:lineRule="atLeast"/>
                    <w:jc w:val="both"/>
                    <w:rPr>
                      <w:rFonts w:ascii="Cambria" w:eastAsia="Times New Roman" w:hAnsi="Cambria" w:cs="Arial"/>
                      <w:sz w:val="20"/>
                      <w:szCs w:val="20"/>
                      <w:lang w:eastAsia="tr-TR"/>
                    </w:rPr>
                  </w:pPr>
                  <w:r w:rsidRPr="00A53994">
                    <w:rPr>
                      <w:rFonts w:ascii="Times New Roman" w:eastAsia="Times New Roman" w:hAnsi="Times New Roman" w:cs="Times New Roman"/>
                      <w:b/>
                      <w:bCs/>
                      <w:sz w:val="18"/>
                      <w:szCs w:val="18"/>
                      <w:lang w:eastAsia="tr-TR"/>
                    </w:rPr>
                    <w:t>(*</w:t>
                  </w:r>
                  <w:r w:rsidRPr="00A53994">
                    <w:rPr>
                      <w:rFonts w:ascii="Times New Roman" w:eastAsia="Times New Roman" w:hAnsi="Times New Roman" w:cs="Times New Roman"/>
                      <w:sz w:val="18"/>
                      <w:szCs w:val="18"/>
                      <w:lang w:eastAsia="tr-TR"/>
                    </w:rPr>
                    <w:t>Mahalli idarelerin kavram/kapsamı üzerindeki farklı değerlendirmeler, Muhasebat Genel Md. nün bilgi derlemede kullandığı yöntemden kaynaklanmaktadır</w:t>
                  </w:r>
                  <w:proofErr w:type="gramStart"/>
                  <w:r w:rsidRPr="00A53994">
                    <w:rPr>
                      <w:rFonts w:ascii="Times New Roman" w:eastAsia="Times New Roman" w:hAnsi="Times New Roman" w:cs="Times New Roman"/>
                      <w:sz w:val="18"/>
                      <w:szCs w:val="18"/>
                      <w:lang w:eastAsia="tr-TR"/>
                    </w:rPr>
                    <w:t>. .</w:t>
                  </w:r>
                  <w:proofErr w:type="gramEnd"/>
                  <w:r w:rsidRPr="00A53994">
                    <w:rPr>
                      <w:rFonts w:ascii="Times New Roman" w:eastAsia="Times New Roman" w:hAnsi="Times New Roman" w:cs="Times New Roman"/>
                      <w:sz w:val="18"/>
                      <w:szCs w:val="18"/>
                      <w:lang w:eastAsia="tr-TR"/>
                    </w:rPr>
                    <w:t xml:space="preserve"> Bu konuda Sayıştay raporları (Faaliyet Genel Değerlendirme/ Mali İstatistikleri </w:t>
                  </w:r>
                  <w:proofErr w:type="gramStart"/>
                  <w:r w:rsidRPr="00A53994">
                    <w:rPr>
                      <w:rFonts w:ascii="Times New Roman" w:eastAsia="Times New Roman" w:hAnsi="Times New Roman" w:cs="Times New Roman"/>
                      <w:sz w:val="18"/>
                      <w:szCs w:val="18"/>
                      <w:lang w:eastAsia="tr-TR"/>
                    </w:rPr>
                    <w:t>Değerlendirme )</w:t>
                  </w:r>
                  <w:proofErr w:type="gramEnd"/>
                  <w:r w:rsidRPr="00A53994">
                    <w:rPr>
                      <w:rFonts w:ascii="Times New Roman" w:eastAsia="Times New Roman" w:hAnsi="Times New Roman" w:cs="Times New Roman"/>
                      <w:sz w:val="18"/>
                      <w:szCs w:val="18"/>
                      <w:lang w:eastAsia="tr-TR"/>
                    </w:rPr>
                    <w:t xml:space="preserve"> arasında dahi farklı değerlendirmeler bulunmaktadır. Anayasa 127.  </w:t>
                  </w:r>
                  <w:proofErr w:type="gramStart"/>
                  <w:r w:rsidRPr="00A53994">
                    <w:rPr>
                      <w:rFonts w:ascii="Times New Roman" w:eastAsia="Times New Roman" w:hAnsi="Times New Roman" w:cs="Times New Roman"/>
                      <w:sz w:val="18"/>
                      <w:szCs w:val="18"/>
                      <w:lang w:eastAsia="tr-TR"/>
                    </w:rPr>
                    <w:t>maddesi</w:t>
                  </w:r>
                  <w:proofErr w:type="gramEnd"/>
                  <w:r w:rsidRPr="00A53994">
                    <w:rPr>
                      <w:rFonts w:ascii="Times New Roman" w:eastAsia="Times New Roman" w:hAnsi="Times New Roman" w:cs="Times New Roman"/>
                      <w:sz w:val="18"/>
                      <w:szCs w:val="18"/>
                      <w:lang w:eastAsia="tr-TR"/>
                    </w:rPr>
                    <w:t xml:space="preserve"> uyarınca genel karar organları halk tarafından seçilmeyen kamu tüzel kişilerinin mahalli idare olarak kabul edilmemesi gerekmektedir. M.E.)</w:t>
                  </w:r>
                </w:p>
                <w:p w:rsidR="00A53994" w:rsidRPr="00A53994" w:rsidRDefault="00A53994" w:rsidP="00A53994">
                  <w:pPr>
                    <w:spacing w:after="0" w:line="230" w:lineRule="atLeast"/>
                    <w:jc w:val="both"/>
                    <w:rPr>
                      <w:rFonts w:ascii="Cambria" w:eastAsia="Times New Roman" w:hAnsi="Cambria" w:cs="Arial"/>
                      <w:sz w:val="20"/>
                      <w:szCs w:val="20"/>
                      <w:lang w:eastAsia="tr-TR"/>
                    </w:rPr>
                  </w:pPr>
                  <w:r w:rsidRPr="00A53994">
                    <w:rPr>
                      <w:rFonts w:ascii="Times New Roman" w:eastAsia="Times New Roman" w:hAnsi="Times New Roman" w:cs="Times New Roman"/>
                      <w:sz w:val="18"/>
                      <w:szCs w:val="18"/>
                      <w:lang w:eastAsia="tr-TR"/>
                    </w:rPr>
                    <w:t> </w:t>
                  </w:r>
                </w:p>
                <w:p w:rsidR="00A53994" w:rsidRDefault="00A53994" w:rsidP="00A53994">
                  <w:pPr>
                    <w:spacing w:after="0" w:line="230" w:lineRule="atLeast"/>
                    <w:jc w:val="both"/>
                    <w:rPr>
                      <w:rFonts w:ascii="Times New Roman" w:eastAsia="Times New Roman" w:hAnsi="Times New Roman" w:cs="Times New Roman"/>
                      <w:b/>
                      <w:bCs/>
                      <w:sz w:val="24"/>
                      <w:szCs w:val="24"/>
                      <w:lang w:eastAsia="tr-TR"/>
                    </w:rPr>
                  </w:pPr>
                  <w:r w:rsidRPr="00A53994">
                    <w:rPr>
                      <w:rFonts w:ascii="Times New Roman" w:eastAsia="Times New Roman" w:hAnsi="Times New Roman" w:cs="Times New Roman"/>
                      <w:sz w:val="18"/>
                      <w:szCs w:val="18"/>
                      <w:lang w:eastAsia="tr-TR"/>
                    </w:rPr>
                    <w:t>                </w:t>
                  </w:r>
                  <w:r w:rsidRPr="00A53994">
                    <w:rPr>
                      <w:rFonts w:ascii="Times New Roman" w:eastAsia="Times New Roman" w:hAnsi="Times New Roman" w:cs="Times New Roman"/>
                      <w:b/>
                      <w:bCs/>
                      <w:sz w:val="24"/>
                      <w:szCs w:val="24"/>
                      <w:lang w:eastAsia="tr-TR"/>
                    </w:rPr>
                    <w:t>3-2017 Yılı Mali İstatistikleri Değerlendirme Raporunda Yer Alan Tespitler</w:t>
                  </w:r>
                </w:p>
                <w:p w:rsidR="002F57A7" w:rsidRPr="00A53994" w:rsidRDefault="002F57A7" w:rsidP="00A53994">
                  <w:pPr>
                    <w:spacing w:after="0" w:line="230" w:lineRule="atLeast"/>
                    <w:jc w:val="both"/>
                    <w:rPr>
                      <w:rFonts w:ascii="Cambria" w:eastAsia="Times New Roman" w:hAnsi="Cambria" w:cs="Arial"/>
                      <w:sz w:val="20"/>
                      <w:szCs w:val="20"/>
                      <w:lang w:eastAsia="tr-TR"/>
                    </w:rPr>
                  </w:pPr>
                </w:p>
                <w:p w:rsidR="00F23F35" w:rsidRDefault="00F23F35" w:rsidP="00A53994">
                  <w:pPr>
                    <w:spacing w:after="0" w:line="23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A53994" w:rsidRPr="00A53994">
                    <w:rPr>
                      <w:rFonts w:ascii="Times New Roman" w:eastAsia="Times New Roman" w:hAnsi="Times New Roman" w:cs="Times New Roman"/>
                      <w:sz w:val="24"/>
                      <w:szCs w:val="24"/>
                      <w:lang w:eastAsia="tr-TR"/>
                    </w:rPr>
                    <w:t>Mahalli idarelerin mali istatistikleri, genel yönetim kapsamında değerlendirilmiştir. Mahalli idarelerin mali istatistiklerine özgü bilgi ve değerlendirmelere yer verilmesi uygulamasından vazgeçilmiştir. (Maliye Mali Analiz Raporları: 2014)  </w:t>
                  </w:r>
                </w:p>
                <w:p w:rsidR="00F23F35" w:rsidRDefault="00F23F35" w:rsidP="00A53994">
                  <w:pPr>
                    <w:spacing w:after="0" w:line="230" w:lineRule="atLeast"/>
                    <w:jc w:val="both"/>
                    <w:rPr>
                      <w:rFonts w:ascii="Times New Roman" w:eastAsia="Times New Roman" w:hAnsi="Times New Roman" w:cs="Times New Roman"/>
                      <w:sz w:val="24"/>
                      <w:szCs w:val="24"/>
                      <w:lang w:eastAsia="tr-TR"/>
                    </w:rPr>
                  </w:pPr>
                </w:p>
                <w:p w:rsidR="00F23F35" w:rsidRDefault="00A53994" w:rsidP="00A53994">
                  <w:pPr>
                    <w:spacing w:after="0" w:line="230" w:lineRule="atLeast"/>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 xml:space="preserve">        </w:t>
                  </w:r>
                  <w:r w:rsidR="00F23F35">
                    <w:rPr>
                      <w:rFonts w:ascii="Times New Roman" w:eastAsia="Times New Roman" w:hAnsi="Times New Roman" w:cs="Times New Roman"/>
                      <w:sz w:val="24"/>
                      <w:szCs w:val="24"/>
                      <w:lang w:eastAsia="tr-TR"/>
                    </w:rPr>
                    <w:t xml:space="preserve">  </w:t>
                  </w:r>
                  <w:r w:rsidRPr="00A53994">
                    <w:rPr>
                      <w:rFonts w:ascii="Times New Roman" w:eastAsia="Times New Roman" w:hAnsi="Times New Roman" w:cs="Times New Roman"/>
                      <w:sz w:val="24"/>
                      <w:szCs w:val="24"/>
                      <w:lang w:eastAsia="tr-TR"/>
                    </w:rPr>
                    <w:t>Bu yüzden 2017 Yılı Mali İstatistikleri Değerlendirme Raporunda mahalli idarelere ilişkin güvenilir/anlamlı sonuç çıkarmak olanaklı değildir.</w:t>
                  </w:r>
                </w:p>
                <w:p w:rsidR="00F23F35" w:rsidRDefault="00F23F35" w:rsidP="00A53994">
                  <w:pPr>
                    <w:spacing w:after="0" w:line="23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A53994" w:rsidRDefault="00A53994" w:rsidP="00A53994">
                  <w:pPr>
                    <w:spacing w:after="0" w:line="230" w:lineRule="atLeast"/>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       </w:t>
                  </w:r>
                  <w:r w:rsidR="00F23F35">
                    <w:rPr>
                      <w:rFonts w:ascii="Times New Roman" w:eastAsia="Times New Roman" w:hAnsi="Times New Roman" w:cs="Times New Roman"/>
                      <w:sz w:val="24"/>
                      <w:szCs w:val="24"/>
                      <w:lang w:eastAsia="tr-TR"/>
                    </w:rPr>
                    <w:t xml:space="preserve">  </w:t>
                  </w:r>
                  <w:r w:rsidRPr="00A53994">
                    <w:rPr>
                      <w:rFonts w:ascii="Times New Roman" w:eastAsia="Times New Roman" w:hAnsi="Times New Roman" w:cs="Times New Roman"/>
                      <w:i/>
                      <w:iCs/>
                      <w:sz w:val="24"/>
                      <w:szCs w:val="24"/>
                      <w:lang w:eastAsia="tr-TR"/>
                    </w:rPr>
                    <w:t>(Genel Yönetim Muhasebe Yönetmeliği ve Mahalli İdareler Muhasebe Yönetmeliğinde konsolide mali tabloların hazırlanma usul ve esaslarına ilişkin bir düzenleme bulunmamaktadır</w:t>
                  </w:r>
                  <w:r w:rsidRPr="00A53994">
                    <w:rPr>
                      <w:rFonts w:ascii="Times New Roman" w:eastAsia="Times New Roman" w:hAnsi="Times New Roman" w:cs="Times New Roman"/>
                      <w:sz w:val="24"/>
                      <w:szCs w:val="24"/>
                      <w:lang w:eastAsia="tr-TR"/>
                    </w:rPr>
                    <w:t>.) (Sayıştay İstatistikler 2017:7-10)</w:t>
                  </w:r>
                </w:p>
                <w:p w:rsidR="002F57A7" w:rsidRPr="00A53994" w:rsidRDefault="002F57A7" w:rsidP="00A53994">
                  <w:pPr>
                    <w:spacing w:after="0" w:line="230" w:lineRule="atLeast"/>
                    <w:jc w:val="both"/>
                    <w:rPr>
                      <w:rFonts w:ascii="Cambria" w:eastAsia="Times New Roman" w:hAnsi="Cambria" w:cs="Arial"/>
                      <w:sz w:val="20"/>
                      <w:szCs w:val="20"/>
                      <w:lang w:eastAsia="tr-TR"/>
                    </w:rPr>
                  </w:pPr>
                </w:p>
                <w:p w:rsidR="00A53994" w:rsidRPr="00A53994" w:rsidRDefault="00A53994" w:rsidP="002F57A7">
                  <w:pPr>
                    <w:spacing w:after="0" w:line="230" w:lineRule="atLeast"/>
                    <w:ind w:firstLine="708"/>
                    <w:jc w:val="both"/>
                    <w:rPr>
                      <w:rFonts w:ascii="Calibri" w:eastAsia="Times New Roman" w:hAnsi="Calibri" w:cs="Arial"/>
                      <w:lang w:eastAsia="tr-TR"/>
                    </w:rPr>
                  </w:pPr>
                  <w:r w:rsidRPr="00A53994">
                    <w:rPr>
                      <w:rFonts w:ascii="Times New Roman" w:eastAsia="Times New Roman" w:hAnsi="Times New Roman" w:cs="Times New Roman"/>
                      <w:b/>
                      <w:bCs/>
                      <w:sz w:val="24"/>
                      <w:szCs w:val="24"/>
                      <w:lang w:eastAsia="tr-TR"/>
                    </w:rPr>
                    <w:t xml:space="preserve">Yukarıda sözü edilen Sayıştay raporları </w:t>
                  </w:r>
                  <w:proofErr w:type="gramStart"/>
                  <w:r w:rsidRPr="00A53994">
                    <w:rPr>
                      <w:rFonts w:ascii="Times New Roman" w:eastAsia="Times New Roman" w:hAnsi="Times New Roman" w:cs="Times New Roman"/>
                      <w:b/>
                      <w:bCs/>
                      <w:sz w:val="24"/>
                      <w:szCs w:val="24"/>
                      <w:lang w:eastAsia="tr-TR"/>
                    </w:rPr>
                    <w:t>( başka</w:t>
                  </w:r>
                  <w:proofErr w:type="gramEnd"/>
                  <w:r w:rsidRPr="00A53994">
                    <w:rPr>
                      <w:rFonts w:ascii="Times New Roman" w:eastAsia="Times New Roman" w:hAnsi="Times New Roman" w:cs="Times New Roman"/>
                      <w:b/>
                      <w:bCs/>
                      <w:sz w:val="24"/>
                      <w:szCs w:val="24"/>
                      <w:lang w:eastAsia="tr-TR"/>
                    </w:rPr>
                    <w:t xml:space="preserve"> sağlıklı/ güvenilir veri olmamasında etkisi ile) kamuoyunun yakın ilgisini çekmekte, yapılan açıklamalarda dayanak olarak kullanılmaktadır. Ancak yıllar itibarıyla düzenlenmiş Sayıştay raporları üzerinden yapılan incelemede, tespit edilmiş bulgularda bir değişiklik olmadığı, bir önceki yılın tespit ve değerlendirmelerine aynen yer verildiği görülmektedir. (Örneğin, 2017 Yılı Dış Denetim Genel Değerlendirme Raporunda yer verilmiş (16) tespitten (13) ü önceki yıla ait raporda da bulunmaktadır.) </w:t>
                  </w:r>
                </w:p>
                <w:p w:rsidR="00A53994" w:rsidRPr="00A53994" w:rsidRDefault="00A53994" w:rsidP="00A53994">
                  <w:pPr>
                    <w:spacing w:after="0" w:line="230" w:lineRule="atLeast"/>
                    <w:jc w:val="both"/>
                    <w:rPr>
                      <w:rFonts w:ascii="Cambria" w:eastAsia="Times New Roman" w:hAnsi="Cambria" w:cs="Arial"/>
                      <w:sz w:val="20"/>
                      <w:szCs w:val="20"/>
                      <w:lang w:eastAsia="tr-TR"/>
                    </w:rPr>
                  </w:pPr>
                  <w:r w:rsidRPr="00A53994">
                    <w:rPr>
                      <w:rFonts w:ascii="Times New Roman" w:eastAsia="Times New Roman" w:hAnsi="Times New Roman" w:cs="Times New Roman"/>
                      <w:sz w:val="24"/>
                      <w:szCs w:val="24"/>
                      <w:lang w:eastAsia="tr-TR"/>
                    </w:rPr>
                    <w:t> </w:t>
                  </w:r>
                </w:p>
                <w:p w:rsidR="00A53994" w:rsidRDefault="00A53994" w:rsidP="00A53994">
                  <w:pPr>
                    <w:spacing w:after="0" w:line="253" w:lineRule="atLeast"/>
                    <w:ind w:firstLine="851"/>
                    <w:jc w:val="both"/>
                    <w:rPr>
                      <w:rFonts w:ascii="Times New Roman" w:eastAsia="Times New Roman" w:hAnsi="Times New Roman" w:cs="Times New Roman"/>
                      <w:b/>
                      <w:bCs/>
                      <w:sz w:val="24"/>
                      <w:szCs w:val="24"/>
                      <w:lang w:eastAsia="tr-TR"/>
                    </w:rPr>
                  </w:pPr>
                  <w:r w:rsidRPr="00A53994">
                    <w:rPr>
                      <w:rFonts w:ascii="Times New Roman" w:eastAsia="Times New Roman" w:hAnsi="Times New Roman" w:cs="Times New Roman"/>
                      <w:b/>
                      <w:bCs/>
                      <w:sz w:val="24"/>
                      <w:szCs w:val="24"/>
                      <w:lang w:eastAsia="tr-TR"/>
                    </w:rPr>
                    <w:t>C-İçişleri Bakanlığı Denetimleri</w:t>
                  </w:r>
                </w:p>
                <w:p w:rsidR="002F57A7" w:rsidRPr="00A53994" w:rsidRDefault="002F57A7"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İçişleri Bakanı tarafından, 4483 sayılı Kanun uyarınca, görevleri ile ilgili suç işlediği iddia edilen belediye başkanı ve belediye meclis üyeleri ile ilgili olarak, konunun denetim elemanlarınca araştırılması/ön incelemesi bağlamında</w:t>
                  </w:r>
                  <w:r w:rsidRPr="00A53994">
                    <w:rPr>
                      <w:rFonts w:ascii="Calibri" w:eastAsia="Times New Roman" w:hAnsi="Calibri" w:cs="Arial"/>
                      <w:lang w:eastAsia="tr-TR"/>
                    </w:rPr>
                    <w:t> </w:t>
                  </w:r>
                  <w:r w:rsidRPr="00A53994">
                    <w:rPr>
                      <w:rFonts w:ascii="Times New Roman" w:eastAsia="Times New Roman" w:hAnsi="Times New Roman" w:cs="Times New Roman"/>
                      <w:sz w:val="24"/>
                      <w:szCs w:val="24"/>
                      <w:lang w:eastAsia="tr-TR"/>
                    </w:rPr>
                    <w:t>2017 yılında (632) adet onay verilmiştir.</w:t>
                  </w:r>
                </w:p>
                <w:p w:rsidR="00F23F35" w:rsidRPr="00A53994" w:rsidRDefault="00F23F35" w:rsidP="00A53994">
                  <w:pPr>
                    <w:spacing w:after="0" w:line="253" w:lineRule="atLeast"/>
                    <w:ind w:firstLine="851"/>
                    <w:jc w:val="both"/>
                    <w:rPr>
                      <w:rFonts w:ascii="Calibri" w:eastAsia="Times New Roman" w:hAnsi="Calibri" w:cs="Arial"/>
                      <w:lang w:eastAsia="tr-TR"/>
                    </w:rPr>
                  </w:pP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Bakanlık Makamınca verilmiş muhtelif onay emirleri doğrultusunda, mahalli idarelerin tümü ile ilgili olarak, mülkiye müfettişlerince (690) mahalli idareler kontrolörlerince (765) adet muhtelif türde rapor düzenlenmiştir.</w:t>
                  </w: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lastRenderedPageBreak/>
                    <w:t>4483 sayılı Kanuna göre düzenlenmiş raporlardan bir bölümü karar verme yetkileri bakımından bu raporlar doğrudan valilik ve kaymakamlıklara gönderilmektedir.</w:t>
                  </w:r>
                </w:p>
                <w:p w:rsidR="00F23F35" w:rsidRPr="00A53994" w:rsidRDefault="00F23F35"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Bakanlık Makamına sunulan raporlar üzerine 2017 yılında İçişleri Bakanı tarafından; (632) adet işleme konulmama, (89) adet soruşturma izni verilmesi, (188) adet soruşturma izni verilmemesi, (149) adet soruşturma izni verilmesi/verilmemesine yönelik karar verilmiş olduğu görülmüştür.</w:t>
                  </w:r>
                </w:p>
                <w:p w:rsidR="00F23F35" w:rsidRPr="00A53994" w:rsidRDefault="00F23F35"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b/>
                      <w:bCs/>
                      <w:sz w:val="24"/>
                      <w:szCs w:val="24"/>
                      <w:lang w:eastAsia="tr-TR"/>
                    </w:rPr>
                    <w:t xml:space="preserve">2017 yılında İçişleri Bakanı </w:t>
                  </w:r>
                  <w:proofErr w:type="gramStart"/>
                  <w:r w:rsidRPr="00A53994">
                    <w:rPr>
                      <w:rFonts w:ascii="Times New Roman" w:eastAsia="Times New Roman" w:hAnsi="Times New Roman" w:cs="Times New Roman"/>
                      <w:b/>
                      <w:bCs/>
                      <w:sz w:val="24"/>
                      <w:szCs w:val="24"/>
                      <w:lang w:eastAsia="tr-TR"/>
                    </w:rPr>
                    <w:t>tarafından;  (</w:t>
                  </w:r>
                  <w:proofErr w:type="gramEnd"/>
                  <w:r w:rsidRPr="00A53994">
                    <w:rPr>
                      <w:rFonts w:ascii="Times New Roman" w:eastAsia="Times New Roman" w:hAnsi="Times New Roman" w:cs="Times New Roman"/>
                      <w:b/>
                      <w:bCs/>
                      <w:sz w:val="24"/>
                      <w:szCs w:val="24"/>
                      <w:lang w:eastAsia="tr-TR"/>
                    </w:rPr>
                    <w:t>41) belediye başkanı ve (84) belediye meclis üyesi görevinden uzaklaştırılmış; aynı yıl içinde ( 6) belediye meclis üyesi göreve iade edilmiştir</w:t>
                  </w:r>
                  <w:r w:rsidRPr="00A53994">
                    <w:rPr>
                      <w:rFonts w:ascii="Times New Roman" w:eastAsia="Times New Roman" w:hAnsi="Times New Roman" w:cs="Times New Roman"/>
                      <w:sz w:val="24"/>
                      <w:szCs w:val="24"/>
                      <w:lang w:eastAsia="tr-TR"/>
                    </w:rPr>
                    <w:t>. (İçişleri, 2018:110-113)</w:t>
                  </w:r>
                </w:p>
                <w:p w:rsidR="00F23F35" w:rsidRPr="00A53994" w:rsidRDefault="00F23F35"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b/>
                      <w:bCs/>
                      <w:sz w:val="24"/>
                      <w:szCs w:val="24"/>
                      <w:lang w:eastAsia="tr-TR"/>
                    </w:rPr>
                    <w:t>Diğer yandan 2013 yılından itibaren mevzuat uyarınca, mülkiye müfettişlerince belediyeler üzerindeki kadim genel/olağan teftişlere ara verilmiştir</w:t>
                  </w:r>
                  <w:r w:rsidRPr="00A53994">
                    <w:rPr>
                      <w:rFonts w:ascii="Times New Roman" w:eastAsia="Times New Roman" w:hAnsi="Times New Roman" w:cs="Times New Roman"/>
                      <w:sz w:val="24"/>
                      <w:szCs w:val="24"/>
                      <w:lang w:eastAsia="tr-TR"/>
                    </w:rPr>
                    <w:t xml:space="preserve">. Bu yüzden belediyelerde sadece özel teftiş yapıldığı görülmektedir. Yıl içine mülkiye müfettişlerince </w:t>
                  </w:r>
                  <w:proofErr w:type="gramStart"/>
                  <w:r w:rsidRPr="00A53994">
                    <w:rPr>
                      <w:rFonts w:ascii="Times New Roman" w:eastAsia="Times New Roman" w:hAnsi="Times New Roman" w:cs="Times New Roman"/>
                      <w:sz w:val="24"/>
                      <w:szCs w:val="24"/>
                      <w:lang w:eastAsia="tr-TR"/>
                    </w:rPr>
                    <w:t>toplam  (</w:t>
                  </w:r>
                  <w:proofErr w:type="gramEnd"/>
                  <w:r w:rsidRPr="00A53994">
                    <w:rPr>
                      <w:rFonts w:ascii="Times New Roman" w:eastAsia="Times New Roman" w:hAnsi="Times New Roman" w:cs="Times New Roman"/>
                      <w:sz w:val="24"/>
                      <w:szCs w:val="24"/>
                      <w:lang w:eastAsia="tr-TR"/>
                    </w:rPr>
                    <w:t>91) adet özel teftiş raporu düzenlenmiştir.</w:t>
                  </w:r>
                </w:p>
                <w:p w:rsidR="00F23F35" w:rsidRPr="00A53994" w:rsidRDefault="00F23F35" w:rsidP="00A53994">
                  <w:pPr>
                    <w:spacing w:after="0" w:line="253" w:lineRule="atLeast"/>
                    <w:ind w:firstLine="851"/>
                    <w:jc w:val="both"/>
                    <w:rPr>
                      <w:rFonts w:ascii="Calibri" w:eastAsia="Times New Roman" w:hAnsi="Calibri" w:cs="Arial"/>
                      <w:lang w:eastAsia="tr-TR"/>
                    </w:rPr>
                  </w:pPr>
                </w:p>
                <w:p w:rsidR="00A53994" w:rsidRDefault="00A53994" w:rsidP="00A53994">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2017 yılında mahalli idareler kontrolörlerince yürütülen olağan teftişler kapsamında; 17 büyükşehir ilçe belediyesi, 173 ilçe belediyesi ve 142’si belde belediyesi olmak üzere toplam 332 belediyenin mali işlemleri dışında kalan diğer idari işlemleri, hukuka uygunluk ve idarenin bütünlüğü yönünden denetime tabi tutulmuş, 332 adet denetim raporu düzenlenmiştir. (İçişleri, 2018:113-116)</w:t>
                  </w:r>
                </w:p>
                <w:p w:rsidR="00F23F35" w:rsidRPr="00A53994" w:rsidRDefault="00F23F35" w:rsidP="00A53994">
                  <w:pPr>
                    <w:spacing w:after="0" w:line="253" w:lineRule="atLeast"/>
                    <w:ind w:firstLine="851"/>
                    <w:jc w:val="both"/>
                    <w:rPr>
                      <w:rFonts w:ascii="Calibri" w:eastAsia="Times New Roman" w:hAnsi="Calibri" w:cs="Arial"/>
                      <w:lang w:eastAsia="tr-TR"/>
                    </w:rPr>
                  </w:pP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 Bu itibarla sonuç olarak, 2016 yılında İçişleri Bakanlığı denetim elemanları aracılığıyla teftiş edilmiş belediye sayısının 423 olduğu; büyükşehir/il belediyeleri başta olmak üzere 975 belediyenin (</w:t>
                  </w:r>
                  <w:proofErr w:type="gramStart"/>
                  <w:r w:rsidRPr="00A53994">
                    <w:rPr>
                      <w:rFonts w:ascii="Times New Roman" w:eastAsia="Times New Roman" w:hAnsi="Times New Roman" w:cs="Times New Roman"/>
                      <w:sz w:val="24"/>
                      <w:szCs w:val="24"/>
                      <w:lang w:eastAsia="tr-TR"/>
                    </w:rPr>
                    <w:t>% 70</w:t>
                  </w:r>
                  <w:proofErr w:type="gramEnd"/>
                  <w:r w:rsidRPr="00A53994">
                    <w:rPr>
                      <w:rFonts w:ascii="Times New Roman" w:eastAsia="Times New Roman" w:hAnsi="Times New Roman" w:cs="Times New Roman"/>
                      <w:sz w:val="24"/>
                      <w:szCs w:val="24"/>
                      <w:lang w:eastAsia="tr-TR"/>
                    </w:rPr>
                    <w:t>) ise teftişe tabi tutulmadığı görülmektedir. İçişleri Bakanlığınca araştırma/soruşturma konularında daha fazla ağırlık verildiği, teftiş hizmetlerinin göz ardı edildiği anlaşılmaktadır.</w:t>
                  </w:r>
                </w:p>
                <w:p w:rsidR="00A53994" w:rsidRPr="00A53994" w:rsidRDefault="00A53994" w:rsidP="00A53994">
                  <w:pPr>
                    <w:spacing w:after="0" w:line="253" w:lineRule="atLeast"/>
                    <w:ind w:firstLine="851"/>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 </w:t>
                  </w:r>
                </w:p>
                <w:p w:rsidR="002F57A7" w:rsidRDefault="00A53994" w:rsidP="002F57A7">
                  <w:pPr>
                    <w:spacing w:after="0" w:line="253" w:lineRule="atLeast"/>
                    <w:ind w:firstLine="851"/>
                    <w:jc w:val="both"/>
                    <w:rPr>
                      <w:rFonts w:ascii="Times New Roman" w:eastAsia="Times New Roman" w:hAnsi="Times New Roman" w:cs="Times New Roman"/>
                      <w:b/>
                      <w:bCs/>
                      <w:sz w:val="24"/>
                      <w:szCs w:val="24"/>
                      <w:lang w:eastAsia="tr-TR"/>
                    </w:rPr>
                  </w:pPr>
                  <w:r w:rsidRPr="00A53994">
                    <w:rPr>
                      <w:rFonts w:ascii="Times New Roman" w:eastAsia="Times New Roman" w:hAnsi="Times New Roman" w:cs="Times New Roman"/>
                      <w:b/>
                      <w:bCs/>
                      <w:sz w:val="24"/>
                      <w:szCs w:val="24"/>
                      <w:lang w:eastAsia="tr-TR"/>
                    </w:rPr>
                    <w:t>VI-SONU</w:t>
                  </w:r>
                  <w:r w:rsidR="002F57A7">
                    <w:rPr>
                      <w:rFonts w:ascii="Times New Roman" w:eastAsia="Times New Roman" w:hAnsi="Times New Roman" w:cs="Times New Roman"/>
                      <w:b/>
                      <w:bCs/>
                      <w:sz w:val="24"/>
                      <w:szCs w:val="24"/>
                      <w:lang w:eastAsia="tr-TR"/>
                    </w:rPr>
                    <w:t>Ç</w:t>
                  </w:r>
                </w:p>
                <w:p w:rsidR="002F57A7" w:rsidRDefault="002F57A7" w:rsidP="002F57A7">
                  <w:pPr>
                    <w:spacing w:after="0" w:line="253" w:lineRule="atLeast"/>
                    <w:ind w:firstLine="851"/>
                    <w:jc w:val="both"/>
                    <w:rPr>
                      <w:rFonts w:ascii="Times New Roman" w:eastAsia="Times New Roman" w:hAnsi="Times New Roman" w:cs="Times New Roman"/>
                      <w:sz w:val="24"/>
                      <w:szCs w:val="24"/>
                      <w:lang w:eastAsia="tr-TR"/>
                    </w:rPr>
                  </w:pPr>
                </w:p>
                <w:p w:rsidR="002F57A7" w:rsidRDefault="00A53994" w:rsidP="002F57A7">
                  <w:pPr>
                    <w:spacing w:after="0" w:line="253" w:lineRule="atLeast"/>
                    <w:ind w:firstLine="851"/>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Raporlarda yapılan değerlendirmeler ışığında;</w:t>
                  </w:r>
                </w:p>
                <w:p w:rsidR="002F57A7" w:rsidRDefault="002F57A7" w:rsidP="002F57A7">
                  <w:pPr>
                    <w:spacing w:after="0" w:line="253" w:lineRule="atLeast"/>
                    <w:jc w:val="both"/>
                    <w:rPr>
                      <w:rFonts w:ascii="Wingdings" w:eastAsia="Times New Roman" w:hAnsi="Wingdings" w:cs="Arial"/>
                      <w:sz w:val="24"/>
                      <w:szCs w:val="24"/>
                      <w:lang w:eastAsia="tr-TR"/>
                    </w:rPr>
                  </w:pPr>
                </w:p>
                <w:p w:rsidR="00A53994" w:rsidRPr="00A53994" w:rsidRDefault="00A53994" w:rsidP="002F57A7">
                  <w:pPr>
                    <w:spacing w:after="0" w:line="253" w:lineRule="atLeast"/>
                    <w:jc w:val="both"/>
                    <w:rPr>
                      <w:rFonts w:ascii="Calibri" w:eastAsia="Times New Roman" w:hAnsi="Calibri" w:cs="Arial"/>
                      <w:lang w:eastAsia="tr-TR"/>
                    </w:rPr>
                  </w:pPr>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sz w:val="24"/>
                      <w:szCs w:val="24"/>
                      <w:lang w:eastAsia="tr-TR"/>
                    </w:rPr>
                    <w:t>Yasal gereklerinin yapılmaması sonucu Sayıştay raporlarındaki belediye yönetimlerine ilişkin belirlenmiş hata/noksanlık ve yolsuzluk alanlarında yıllar itibarıyla bir azalma olmadığı, Sayıştay raporlarının bilinen hususları yinelemekten öteye geçmediği; bu durumunda yolsuzluğun kanıksanmasına/yaygınlaşmasına yol açacağı da dikkate alınarak; yolsuzluklarla etkili mücadele edilmesi, bu suretle raporlardaki tespitlerin asgariye indirilmesi için belediyeler başta olmak üzere kamu idarelerince gereken tedbirler alınmalıdır.</w:t>
                  </w:r>
                </w:p>
                <w:p w:rsidR="002F57A7" w:rsidRDefault="002F57A7" w:rsidP="00A53994">
                  <w:pPr>
                    <w:spacing w:after="0" w:line="253" w:lineRule="atLeast"/>
                    <w:ind w:left="720"/>
                    <w:jc w:val="both"/>
                    <w:rPr>
                      <w:rFonts w:ascii="Times New Roman" w:eastAsia="Times New Roman" w:hAnsi="Times New Roman" w:cs="Times New Roman"/>
                      <w:sz w:val="24"/>
                      <w:szCs w:val="24"/>
                      <w:lang w:eastAsia="tr-TR"/>
                    </w:rPr>
                  </w:pPr>
                </w:p>
                <w:p w:rsidR="00A53994" w:rsidRDefault="00A53994" w:rsidP="002F57A7">
                  <w:pPr>
                    <w:spacing w:after="0" w:line="253" w:lineRule="atLeast"/>
                    <w:jc w:val="both"/>
                    <w:rPr>
                      <w:rFonts w:ascii="Times New Roman" w:eastAsia="Times New Roman" w:hAnsi="Times New Roman" w:cs="Times New Roman"/>
                      <w:sz w:val="24"/>
                      <w:szCs w:val="24"/>
                      <w:lang w:eastAsia="tr-TR"/>
                    </w:rPr>
                  </w:pPr>
                  <w:r w:rsidRPr="00A53994">
                    <w:rPr>
                      <w:rFonts w:ascii="Times New Roman" w:eastAsia="Times New Roman" w:hAnsi="Times New Roman" w:cs="Times New Roman"/>
                      <w:sz w:val="24"/>
                      <w:szCs w:val="24"/>
                      <w:lang w:eastAsia="tr-TR"/>
                    </w:rPr>
                    <w:t>Bu bağlamda;</w:t>
                  </w:r>
                </w:p>
                <w:p w:rsidR="002F57A7" w:rsidRPr="00A53994" w:rsidRDefault="002F57A7" w:rsidP="00A53994">
                  <w:pPr>
                    <w:spacing w:after="0" w:line="253" w:lineRule="atLeast"/>
                    <w:ind w:left="720"/>
                    <w:jc w:val="both"/>
                    <w:rPr>
                      <w:rFonts w:ascii="Calibri" w:eastAsia="Times New Roman" w:hAnsi="Calibri" w:cs="Arial"/>
                      <w:lang w:eastAsia="tr-TR"/>
                    </w:rPr>
                  </w:pPr>
                </w:p>
                <w:p w:rsidR="00A53994" w:rsidRPr="00A53994" w:rsidRDefault="00A53994" w:rsidP="002F57A7">
                  <w:pPr>
                    <w:spacing w:after="0" w:line="253" w:lineRule="atLeast"/>
                    <w:jc w:val="both"/>
                    <w:rPr>
                      <w:rFonts w:ascii="Calibri" w:eastAsia="Times New Roman" w:hAnsi="Calibri" w:cs="Arial"/>
                      <w:lang w:eastAsia="tr-TR"/>
                    </w:rPr>
                  </w:pPr>
                  <w:r w:rsidRPr="00A53994">
                    <w:rPr>
                      <w:rFonts w:ascii="Times New Roman" w:eastAsia="Times New Roman" w:hAnsi="Times New Roman" w:cs="Times New Roman"/>
                      <w:b/>
                      <w:bCs/>
                      <w:sz w:val="24"/>
                      <w:szCs w:val="24"/>
                      <w:lang w:eastAsia="tr-TR"/>
                    </w:rPr>
                    <w:t>Sayıştay Başkanlığınca konusu suç oluşturan eylemlerde mükerrer tespit/eleştiri ile yetinilmemesi, Sayıştay Kanununun 78. maddesine göre C. Savcılığına veya ilgili kamu idarelerine suç duyurusunda bulunulması gerektiği hususu göz ardı edilmemelidir.</w:t>
                  </w:r>
                </w:p>
                <w:p w:rsidR="00A53994" w:rsidRPr="00A53994" w:rsidRDefault="00A53994" w:rsidP="002F57A7">
                  <w:pPr>
                    <w:spacing w:after="0" w:line="253" w:lineRule="atLeast"/>
                    <w:jc w:val="both"/>
                    <w:rPr>
                      <w:rFonts w:ascii="Calibri" w:eastAsia="Times New Roman" w:hAnsi="Calibri" w:cs="Arial"/>
                      <w:lang w:eastAsia="tr-TR"/>
                    </w:rPr>
                  </w:pPr>
                  <w:r w:rsidRPr="00A53994">
                    <w:rPr>
                      <w:rFonts w:ascii="Times New Roman" w:eastAsia="Times New Roman" w:hAnsi="Times New Roman" w:cs="Times New Roman"/>
                      <w:b/>
                      <w:bCs/>
                      <w:sz w:val="24"/>
                      <w:szCs w:val="24"/>
                      <w:lang w:eastAsia="tr-TR"/>
                    </w:rPr>
                    <w:t>İçişleri Bakanlığınca yapılacak özel/genel teftişler sırasında da bu tür konuların (yolsuzluk alanlarının) özel olarak ele alınması sağlanmalıdır.</w:t>
                  </w:r>
                </w:p>
                <w:p w:rsidR="002F57A7" w:rsidRDefault="002F57A7" w:rsidP="002F57A7">
                  <w:pPr>
                    <w:spacing w:after="0" w:line="253" w:lineRule="atLeast"/>
                    <w:jc w:val="both"/>
                    <w:rPr>
                      <w:rFonts w:ascii="Wingdings" w:eastAsia="Times New Roman" w:hAnsi="Wingdings" w:cs="Arial"/>
                      <w:sz w:val="24"/>
                      <w:szCs w:val="24"/>
                      <w:lang w:eastAsia="tr-TR"/>
                    </w:rPr>
                  </w:pPr>
                </w:p>
                <w:p w:rsidR="00A53994" w:rsidRPr="00A53994" w:rsidRDefault="00A53994" w:rsidP="002F57A7">
                  <w:pPr>
                    <w:spacing w:after="0" w:line="253" w:lineRule="atLeast"/>
                    <w:jc w:val="both"/>
                    <w:rPr>
                      <w:rFonts w:ascii="Calibri" w:eastAsia="Times New Roman" w:hAnsi="Calibri" w:cs="Arial"/>
                      <w:lang w:eastAsia="tr-TR"/>
                    </w:rPr>
                  </w:pPr>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b/>
                      <w:bCs/>
                      <w:sz w:val="24"/>
                      <w:szCs w:val="24"/>
                      <w:lang w:eastAsia="tr-TR"/>
                    </w:rPr>
                    <w:t>İçişleri Bakanlığınca hazırlanan (bundan böyle Çevre ve Şehircilik Bakanlığınca hazırlanacak olan) mahalli idareler genel faaliyet raporlarının;</w:t>
                  </w:r>
                  <w:r w:rsidRPr="00A53994">
                    <w:rPr>
                      <w:rFonts w:ascii="Times New Roman" w:eastAsia="Times New Roman" w:hAnsi="Times New Roman" w:cs="Times New Roman"/>
                      <w:sz w:val="24"/>
                      <w:szCs w:val="24"/>
                      <w:lang w:eastAsia="tr-TR"/>
                    </w:rPr>
                    <w:t xml:space="preserve"> Muhasebat Genel Müdürlüğünce yayımlanan istatistik/bültenlerdeki yıllık verilerin genişletilerek çok ayrıntılı </w:t>
                  </w:r>
                  <w:r w:rsidRPr="00A53994">
                    <w:rPr>
                      <w:rFonts w:ascii="Times New Roman" w:eastAsia="Times New Roman" w:hAnsi="Times New Roman" w:cs="Times New Roman"/>
                      <w:sz w:val="24"/>
                      <w:szCs w:val="24"/>
                      <w:lang w:eastAsia="tr-TR"/>
                    </w:rPr>
                    <w:lastRenderedPageBreak/>
                    <w:t>verilmesi yerine, Kamu İdarelerince Hazırlanacak Faaliyet Raporları Hakkında Yönetmelik hükümleri dikkate alınarak, mahalli idarelerin genel durumunu ortaya koyacak, mahalli idarelerdeki gidişat konusunda karar alma yetkisi olan organlara yol gösterecek, kamuoyunu aydınlatacak, </w:t>
                  </w:r>
                  <w:r w:rsidRPr="00A53994">
                    <w:rPr>
                      <w:rFonts w:ascii="Times New Roman" w:eastAsia="Times New Roman" w:hAnsi="Times New Roman" w:cs="Times New Roman"/>
                      <w:b/>
                      <w:bCs/>
                      <w:sz w:val="24"/>
                      <w:szCs w:val="24"/>
                      <w:lang w:eastAsia="tr-TR"/>
                    </w:rPr>
                    <w:t>analiz/çıkarım yapma olanağı verecek nitelikte mahalli idarelerle ilgili bilgi ve değerlendirmelere kapsayacak şekilde hazırlanması gerekmektedir.</w:t>
                  </w:r>
                </w:p>
                <w:p w:rsidR="002F57A7" w:rsidRDefault="002F57A7" w:rsidP="002F57A7">
                  <w:pPr>
                    <w:spacing w:after="0" w:line="253" w:lineRule="atLeast"/>
                    <w:jc w:val="both"/>
                    <w:rPr>
                      <w:rFonts w:ascii="Wingdings" w:eastAsia="Times New Roman" w:hAnsi="Wingdings" w:cs="Arial"/>
                      <w:sz w:val="24"/>
                      <w:szCs w:val="24"/>
                      <w:lang w:eastAsia="tr-TR"/>
                    </w:rPr>
                  </w:pPr>
                </w:p>
                <w:p w:rsidR="00F23F35" w:rsidRDefault="00A53994" w:rsidP="002F57A7">
                  <w:pPr>
                    <w:spacing w:after="0" w:line="253" w:lineRule="atLeast"/>
                    <w:jc w:val="both"/>
                    <w:rPr>
                      <w:rFonts w:ascii="Times New Roman" w:eastAsia="Times New Roman" w:hAnsi="Times New Roman" w:cs="Times New Roman"/>
                      <w:sz w:val="24"/>
                      <w:szCs w:val="24"/>
                      <w:lang w:eastAsia="tr-TR"/>
                    </w:rPr>
                  </w:pPr>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sz w:val="24"/>
                      <w:szCs w:val="24"/>
                      <w:lang w:eastAsia="tr-TR"/>
                    </w:rPr>
                    <w:t>Sayıştay denetiminin belediyelerde nicelik olarak yetersiz kalması,  iç denetim kurumunun belediyelerde de henüz yerleşmemiş olması, Sayıştay’ın muhtelif raporlarında belirtilmiş hata</w:t>
                  </w:r>
                  <w:r w:rsidR="00F23F35">
                    <w:rPr>
                      <w:rFonts w:ascii="Times New Roman" w:eastAsia="Times New Roman" w:hAnsi="Times New Roman" w:cs="Times New Roman"/>
                      <w:sz w:val="24"/>
                      <w:szCs w:val="24"/>
                      <w:lang w:eastAsia="tr-TR"/>
                    </w:rPr>
                    <w:t xml:space="preserve"> </w:t>
                  </w:r>
                  <w:r w:rsidRPr="00A53994">
                    <w:rPr>
                      <w:rFonts w:ascii="Times New Roman" w:eastAsia="Times New Roman" w:hAnsi="Times New Roman" w:cs="Times New Roman"/>
                      <w:sz w:val="24"/>
                      <w:szCs w:val="24"/>
                      <w:lang w:eastAsia="tr-TR"/>
                    </w:rPr>
                    <w:t>/</w:t>
                  </w:r>
                  <w:r w:rsidR="00F23F35">
                    <w:rPr>
                      <w:rFonts w:ascii="Times New Roman" w:eastAsia="Times New Roman" w:hAnsi="Times New Roman" w:cs="Times New Roman"/>
                      <w:sz w:val="24"/>
                      <w:szCs w:val="24"/>
                      <w:lang w:eastAsia="tr-TR"/>
                    </w:rPr>
                    <w:t xml:space="preserve"> </w:t>
                  </w:r>
                  <w:r w:rsidRPr="00A53994">
                    <w:rPr>
                      <w:rFonts w:ascii="Times New Roman" w:eastAsia="Times New Roman" w:hAnsi="Times New Roman" w:cs="Times New Roman"/>
                      <w:sz w:val="24"/>
                      <w:szCs w:val="24"/>
                      <w:lang w:eastAsia="tr-TR"/>
                    </w:rPr>
                    <w:t>noksanlık</w:t>
                  </w:r>
                  <w:r w:rsidR="00F23F35">
                    <w:rPr>
                      <w:rFonts w:ascii="Times New Roman" w:eastAsia="Times New Roman" w:hAnsi="Times New Roman" w:cs="Times New Roman"/>
                      <w:sz w:val="24"/>
                      <w:szCs w:val="24"/>
                      <w:lang w:eastAsia="tr-TR"/>
                    </w:rPr>
                    <w:t xml:space="preserve"> </w:t>
                  </w:r>
                  <w:r w:rsidRPr="00A53994">
                    <w:rPr>
                      <w:rFonts w:ascii="Times New Roman" w:eastAsia="Times New Roman" w:hAnsi="Times New Roman" w:cs="Times New Roman"/>
                      <w:sz w:val="24"/>
                      <w:szCs w:val="24"/>
                      <w:lang w:eastAsia="tr-TR"/>
                    </w:rPr>
                    <w:t>/ yolsuzluk örneklerinin hızla giderilmesi, Devletin en üst organlarının dahi belediye yönetimlerinden şikâyet eder hale gelmesi, mahalli idarelerin özerk yapılarından kaynaklanan ihtiyaç dikkate alınarak, </w:t>
                  </w:r>
                  <w:r w:rsidRPr="00A53994">
                    <w:rPr>
                      <w:rFonts w:ascii="Times New Roman" w:eastAsia="Times New Roman" w:hAnsi="Times New Roman" w:cs="Times New Roman"/>
                      <w:b/>
                      <w:bCs/>
                      <w:sz w:val="24"/>
                      <w:szCs w:val="24"/>
                      <w:lang w:eastAsia="tr-TR"/>
                    </w:rPr>
                    <w:t>belediye faaliyetlerinin Anayasanın 127/5 maddesinde belirtilmiş ilkeler çerçevesinde yürütülmesinin sağlanması için İçişleri Bakanlığına, mahalli idareler üzerinde (yeniden) dış denetim yetkisi verilmesine de gerek vardır</w:t>
                  </w:r>
                  <w:r w:rsidRPr="00A53994">
                    <w:rPr>
                      <w:rFonts w:ascii="Times New Roman" w:eastAsia="Times New Roman" w:hAnsi="Times New Roman" w:cs="Times New Roman"/>
                      <w:sz w:val="24"/>
                      <w:szCs w:val="24"/>
                      <w:lang w:eastAsia="tr-TR"/>
                    </w:rPr>
                    <w:t>.</w:t>
                  </w:r>
                </w:p>
                <w:p w:rsidR="00F23F35" w:rsidRDefault="00F23F35" w:rsidP="002F57A7">
                  <w:pPr>
                    <w:spacing w:after="0" w:line="253" w:lineRule="atLeast"/>
                    <w:jc w:val="both"/>
                    <w:rPr>
                      <w:rFonts w:ascii="Times New Roman" w:eastAsia="Times New Roman" w:hAnsi="Times New Roman" w:cs="Times New Roman"/>
                      <w:sz w:val="24"/>
                      <w:szCs w:val="24"/>
                      <w:lang w:eastAsia="tr-TR"/>
                    </w:rPr>
                  </w:pPr>
                </w:p>
                <w:p w:rsidR="00A53994" w:rsidRPr="00A53994" w:rsidRDefault="00A53994" w:rsidP="002F57A7">
                  <w:pPr>
                    <w:spacing w:after="0" w:line="253" w:lineRule="atLeast"/>
                    <w:jc w:val="both"/>
                    <w:rPr>
                      <w:rFonts w:ascii="Calibri" w:eastAsia="Times New Roman" w:hAnsi="Calibri" w:cs="Arial"/>
                      <w:lang w:eastAsia="tr-TR"/>
                    </w:rPr>
                  </w:pPr>
                  <w:r w:rsidRPr="00A53994">
                    <w:rPr>
                      <w:rFonts w:ascii="Times New Roman" w:eastAsia="Times New Roman" w:hAnsi="Times New Roman" w:cs="Times New Roman"/>
                      <w:sz w:val="24"/>
                      <w:szCs w:val="24"/>
                      <w:lang w:eastAsia="tr-TR"/>
                    </w:rPr>
                    <w:t>Bu amaçla Mülkiye Teftiş Kurulu Başkanlığı gereken yetki</w:t>
                  </w:r>
                  <w:r w:rsidR="00F23F35">
                    <w:rPr>
                      <w:rFonts w:ascii="Times New Roman" w:eastAsia="Times New Roman" w:hAnsi="Times New Roman" w:cs="Times New Roman"/>
                      <w:sz w:val="24"/>
                      <w:szCs w:val="24"/>
                      <w:lang w:eastAsia="tr-TR"/>
                    </w:rPr>
                    <w:t xml:space="preserve"> </w:t>
                  </w:r>
                  <w:r w:rsidRPr="00A53994">
                    <w:rPr>
                      <w:rFonts w:ascii="Times New Roman" w:eastAsia="Times New Roman" w:hAnsi="Times New Roman" w:cs="Times New Roman"/>
                      <w:sz w:val="24"/>
                      <w:szCs w:val="24"/>
                      <w:lang w:eastAsia="tr-TR"/>
                    </w:rPr>
                    <w:t>/</w:t>
                  </w:r>
                  <w:r w:rsidR="00F23F35">
                    <w:rPr>
                      <w:rFonts w:ascii="Times New Roman" w:eastAsia="Times New Roman" w:hAnsi="Times New Roman" w:cs="Times New Roman"/>
                      <w:sz w:val="24"/>
                      <w:szCs w:val="24"/>
                      <w:lang w:eastAsia="tr-TR"/>
                    </w:rPr>
                    <w:t xml:space="preserve"> </w:t>
                  </w:r>
                  <w:r w:rsidRPr="00A53994">
                    <w:rPr>
                      <w:rFonts w:ascii="Times New Roman" w:eastAsia="Times New Roman" w:hAnsi="Times New Roman" w:cs="Times New Roman"/>
                      <w:sz w:val="24"/>
                      <w:szCs w:val="24"/>
                      <w:lang w:eastAsia="tr-TR"/>
                    </w:rPr>
                    <w:t>yeterlik ve yetkinliğe kavuşturulmalı, mülkiye müfettişlerinin mali haklarında Sayıştay denetçilerine paralel gerekli iyileştirmeler yapılmalıdır.</w:t>
                  </w:r>
                </w:p>
                <w:p w:rsidR="002F57A7" w:rsidRDefault="002F57A7" w:rsidP="002F57A7">
                  <w:pPr>
                    <w:spacing w:after="0" w:line="253" w:lineRule="atLeast"/>
                    <w:jc w:val="both"/>
                    <w:rPr>
                      <w:rFonts w:ascii="Wingdings" w:eastAsia="Times New Roman" w:hAnsi="Wingdings" w:cs="Arial"/>
                      <w:sz w:val="24"/>
                      <w:szCs w:val="24"/>
                      <w:lang w:eastAsia="tr-TR"/>
                    </w:rPr>
                  </w:pPr>
                </w:p>
                <w:p w:rsidR="00A53994" w:rsidRPr="00A53994" w:rsidRDefault="00A53994" w:rsidP="002F57A7">
                  <w:pPr>
                    <w:spacing w:after="0" w:line="253" w:lineRule="atLeast"/>
                    <w:jc w:val="both"/>
                    <w:rPr>
                      <w:rFonts w:ascii="Calibri" w:eastAsia="Times New Roman" w:hAnsi="Calibri" w:cs="Arial"/>
                      <w:lang w:eastAsia="tr-TR"/>
                    </w:rPr>
                  </w:pPr>
                  <w:proofErr w:type="gramStart"/>
                  <w:r w:rsidRPr="00A53994">
                    <w:rPr>
                      <w:rFonts w:ascii="Wingdings" w:eastAsia="Times New Roman" w:hAnsi="Wingdings" w:cs="Arial"/>
                      <w:sz w:val="24"/>
                      <w:szCs w:val="24"/>
                      <w:lang w:eastAsia="tr-TR"/>
                    </w:rPr>
                    <w:t></w:t>
                  </w:r>
                  <w:r w:rsidRPr="00A53994">
                    <w:rPr>
                      <w:rFonts w:ascii="Times New Roman" w:eastAsia="Times New Roman" w:hAnsi="Times New Roman" w:cs="Times New Roman"/>
                      <w:sz w:val="14"/>
                      <w:szCs w:val="14"/>
                      <w:lang w:eastAsia="tr-TR"/>
                    </w:rPr>
                    <w:t>  </w:t>
                  </w:r>
                  <w:r w:rsidRPr="00A53994">
                    <w:rPr>
                      <w:rFonts w:ascii="Times New Roman" w:eastAsia="Times New Roman" w:hAnsi="Times New Roman" w:cs="Times New Roman"/>
                      <w:b/>
                      <w:bCs/>
                      <w:sz w:val="24"/>
                      <w:szCs w:val="24"/>
                      <w:lang w:eastAsia="tr-TR"/>
                    </w:rPr>
                    <w:t>Ayrıca</w:t>
                  </w:r>
                  <w:proofErr w:type="gramEnd"/>
                  <w:r w:rsidRPr="00A53994">
                    <w:rPr>
                      <w:rFonts w:ascii="Times New Roman" w:eastAsia="Times New Roman" w:hAnsi="Times New Roman" w:cs="Times New Roman"/>
                      <w:b/>
                      <w:bCs/>
                      <w:sz w:val="24"/>
                      <w:szCs w:val="24"/>
                      <w:lang w:eastAsia="tr-TR"/>
                    </w:rPr>
                    <w:t xml:space="preserve"> Çevre ve Şehircilik Bakanlığı ile İçişleri Bakanlığının belediyelere özgü (eğitim, personel istihdamı, gelir/gider politikaları vb. konularda) daha çok strateji geliştirilmesi/</w:t>
                  </w:r>
                  <w:r w:rsidR="00F23F35">
                    <w:rPr>
                      <w:rFonts w:ascii="Times New Roman" w:eastAsia="Times New Roman" w:hAnsi="Times New Roman" w:cs="Times New Roman"/>
                      <w:b/>
                      <w:bCs/>
                      <w:sz w:val="24"/>
                      <w:szCs w:val="24"/>
                      <w:lang w:eastAsia="tr-TR"/>
                    </w:rPr>
                    <w:t xml:space="preserve"> </w:t>
                  </w:r>
                  <w:r w:rsidRPr="00A53994">
                    <w:rPr>
                      <w:rFonts w:ascii="Times New Roman" w:eastAsia="Times New Roman" w:hAnsi="Times New Roman" w:cs="Times New Roman"/>
                      <w:b/>
                      <w:bCs/>
                      <w:sz w:val="24"/>
                      <w:szCs w:val="24"/>
                      <w:lang w:eastAsia="tr-TR"/>
                    </w:rPr>
                    <w:t>rehberlik yapmasına ihtiyaç bulunmaktadır.</w:t>
                  </w:r>
                </w:p>
                <w:p w:rsidR="00A53994" w:rsidRPr="00A53994" w:rsidRDefault="00A53994" w:rsidP="00A53994">
                  <w:pPr>
                    <w:spacing w:after="200" w:line="253" w:lineRule="atLeast"/>
                    <w:ind w:left="851"/>
                    <w:jc w:val="both"/>
                    <w:rPr>
                      <w:rFonts w:ascii="Calibri" w:eastAsia="Times New Roman" w:hAnsi="Calibri" w:cs="Arial"/>
                      <w:lang w:eastAsia="tr-TR"/>
                    </w:rPr>
                  </w:pPr>
                </w:p>
                <w:p w:rsidR="00A53994" w:rsidRPr="00A53994" w:rsidRDefault="00A53994" w:rsidP="002F57A7">
                  <w:pPr>
                    <w:spacing w:after="0" w:line="230" w:lineRule="atLeast"/>
                    <w:jc w:val="both"/>
                    <w:rPr>
                      <w:rFonts w:ascii="Calibri" w:eastAsia="Times New Roman" w:hAnsi="Calibri" w:cs="Arial"/>
                      <w:sz w:val="20"/>
                      <w:szCs w:val="20"/>
                      <w:lang w:eastAsia="tr-TR"/>
                    </w:rPr>
                  </w:pPr>
                  <w:r w:rsidRPr="00A53994">
                    <w:rPr>
                      <w:rFonts w:ascii="Times New Roman" w:eastAsia="Times New Roman" w:hAnsi="Times New Roman" w:cs="Times New Roman"/>
                      <w:b/>
                      <w:bCs/>
                      <w:sz w:val="24"/>
                      <w:szCs w:val="24"/>
                      <w:lang w:eastAsia="tr-TR"/>
                    </w:rPr>
                    <w:t>KAYNAKÇA</w:t>
                  </w:r>
                </w:p>
                <w:p w:rsidR="002F57A7" w:rsidRDefault="002F57A7" w:rsidP="002F57A7">
                  <w:pPr>
                    <w:spacing w:after="0" w:line="230" w:lineRule="atLeast"/>
                    <w:jc w:val="both"/>
                    <w:rPr>
                      <w:rFonts w:ascii="Times New Roman" w:eastAsia="Times New Roman" w:hAnsi="Times New Roman" w:cs="Times New Roman"/>
                      <w:sz w:val="18"/>
                      <w:szCs w:val="18"/>
                      <w:lang w:eastAsia="tr-TR"/>
                    </w:rPr>
                  </w:pPr>
                </w:p>
                <w:p w:rsidR="00A53994" w:rsidRPr="00A53994" w:rsidRDefault="00A53994" w:rsidP="002F57A7">
                  <w:pPr>
                    <w:spacing w:after="0" w:line="230" w:lineRule="atLeast"/>
                    <w:jc w:val="both"/>
                    <w:rPr>
                      <w:rFonts w:ascii="Calibri" w:eastAsia="Times New Roman" w:hAnsi="Calibri" w:cs="Arial"/>
                      <w:i/>
                      <w:sz w:val="24"/>
                      <w:szCs w:val="20"/>
                      <w:lang w:eastAsia="tr-TR"/>
                    </w:rPr>
                  </w:pPr>
                  <w:r w:rsidRPr="00A53994">
                    <w:rPr>
                      <w:rFonts w:ascii="Times New Roman" w:eastAsia="Times New Roman" w:hAnsi="Times New Roman" w:cs="Times New Roman"/>
                      <w:i/>
                      <w:szCs w:val="18"/>
                      <w:lang w:eastAsia="tr-TR"/>
                    </w:rPr>
                    <w:t>İçişleri Bakanlığı, (2018</w:t>
                  </w:r>
                  <w:proofErr w:type="gramStart"/>
                  <w:r w:rsidRPr="00A53994">
                    <w:rPr>
                      <w:rFonts w:ascii="Times New Roman" w:eastAsia="Times New Roman" w:hAnsi="Times New Roman" w:cs="Times New Roman"/>
                      <w:i/>
                      <w:szCs w:val="18"/>
                      <w:lang w:eastAsia="tr-TR"/>
                    </w:rPr>
                    <w:t>) ,</w:t>
                  </w:r>
                  <w:proofErr w:type="gramEnd"/>
                  <w:r w:rsidRPr="00A53994">
                    <w:rPr>
                      <w:rFonts w:ascii="Times New Roman" w:eastAsia="Times New Roman" w:hAnsi="Times New Roman" w:cs="Times New Roman"/>
                      <w:i/>
                      <w:szCs w:val="18"/>
                      <w:lang w:eastAsia="tr-TR"/>
                    </w:rPr>
                    <w:t xml:space="preserve"> “ 2017 Yılı Mahalli İdareler Genel Faaliyet Raporu”,</w:t>
                  </w:r>
                </w:p>
                <w:p w:rsidR="00A53994" w:rsidRPr="00A53994" w:rsidRDefault="00A53994" w:rsidP="00A53994">
                  <w:pPr>
                    <w:spacing w:after="0" w:line="230" w:lineRule="atLeast"/>
                    <w:jc w:val="both"/>
                    <w:rPr>
                      <w:rFonts w:ascii="Calibri" w:eastAsia="Times New Roman" w:hAnsi="Calibri" w:cs="Arial"/>
                      <w:i/>
                      <w:sz w:val="24"/>
                      <w:szCs w:val="20"/>
                      <w:lang w:eastAsia="tr-TR"/>
                    </w:rPr>
                  </w:pPr>
                  <w:hyperlink r:id="rId7" w:tgtFrame="_blank" w:history="1">
                    <w:r w:rsidRPr="00A53994">
                      <w:rPr>
                        <w:rFonts w:ascii="Times New Roman" w:eastAsia="Times New Roman" w:hAnsi="Times New Roman" w:cs="Times New Roman"/>
                        <w:i/>
                        <w:color w:val="0000FF"/>
                        <w:szCs w:val="18"/>
                        <w:u w:val="single"/>
                        <w:lang w:eastAsia="tr-TR"/>
                      </w:rPr>
                      <w:t>http://webdosya.csb.gov.tr/db/yerelyonetimler/icerikler//2017_m-_gnl_faal_rpr-20180904082437.pdf</w:t>
                    </w:r>
                  </w:hyperlink>
                  <w:r w:rsidRPr="00A53994">
                    <w:rPr>
                      <w:rFonts w:ascii="Times New Roman" w:eastAsia="Times New Roman" w:hAnsi="Times New Roman" w:cs="Times New Roman"/>
                      <w:i/>
                      <w:szCs w:val="18"/>
                      <w:lang w:eastAsia="tr-TR"/>
                    </w:rPr>
                    <w:t>  ( 11.11.2018)</w:t>
                  </w:r>
                </w:p>
                <w:p w:rsidR="00A53994" w:rsidRPr="00A53994" w:rsidRDefault="00A53994" w:rsidP="002F57A7">
                  <w:pPr>
                    <w:spacing w:after="0" w:line="253" w:lineRule="atLeast"/>
                    <w:jc w:val="both"/>
                    <w:rPr>
                      <w:rFonts w:ascii="Calibri" w:eastAsia="Times New Roman" w:hAnsi="Calibri" w:cs="Arial"/>
                      <w:i/>
                      <w:sz w:val="28"/>
                      <w:lang w:eastAsia="tr-TR"/>
                    </w:rPr>
                  </w:pPr>
                  <w:r w:rsidRPr="00A53994">
                    <w:rPr>
                      <w:rFonts w:ascii="Times New Roman" w:eastAsia="Times New Roman" w:hAnsi="Times New Roman" w:cs="Times New Roman"/>
                      <w:i/>
                      <w:szCs w:val="18"/>
                      <w:lang w:eastAsia="tr-TR"/>
                    </w:rPr>
                    <w:t>Maliye Bakanlığı, (2017), “2018 Yılı Bütçe Gerekçesi”</w:t>
                  </w:r>
                </w:p>
                <w:p w:rsidR="00A53994" w:rsidRPr="00A53994" w:rsidRDefault="00A53994" w:rsidP="00A53994">
                  <w:pPr>
                    <w:spacing w:after="0" w:line="253" w:lineRule="atLeast"/>
                    <w:jc w:val="both"/>
                    <w:rPr>
                      <w:rFonts w:ascii="Calibri" w:eastAsia="Times New Roman" w:hAnsi="Calibri" w:cs="Arial"/>
                      <w:i/>
                      <w:sz w:val="28"/>
                      <w:lang w:eastAsia="tr-TR"/>
                    </w:rPr>
                  </w:pPr>
                  <w:hyperlink r:id="rId8" w:tgtFrame="_blank" w:history="1">
                    <w:r w:rsidRPr="00A53994">
                      <w:rPr>
                        <w:rFonts w:ascii="Arial" w:eastAsia="Times New Roman" w:hAnsi="Arial" w:cs="Arial"/>
                        <w:i/>
                        <w:color w:val="1155CC"/>
                        <w:szCs w:val="18"/>
                        <w:u w:val="single"/>
                        <w:lang w:eastAsia="tr-TR"/>
                      </w:rPr>
                      <w:t>http://www.bumko.gov.tr/Eklenti/10849,2018yilibutce-gerekcesipdf</w:t>
                    </w:r>
                  </w:hyperlink>
                  <w:r w:rsidRPr="00A53994">
                    <w:rPr>
                      <w:rFonts w:ascii="Calibri" w:eastAsia="Times New Roman" w:hAnsi="Calibri" w:cs="Arial"/>
                      <w:i/>
                      <w:szCs w:val="18"/>
                      <w:lang w:eastAsia="tr-TR"/>
                    </w:rPr>
                    <w:t>. </w:t>
                  </w:r>
                  <w:proofErr w:type="gramStart"/>
                  <w:r w:rsidRPr="00A53994">
                    <w:rPr>
                      <w:rFonts w:ascii="Calibri" w:eastAsia="Times New Roman" w:hAnsi="Calibri" w:cs="Arial"/>
                      <w:i/>
                      <w:szCs w:val="18"/>
                      <w:lang w:eastAsia="tr-TR"/>
                    </w:rPr>
                    <w:t>( 11.11.2018</w:t>
                  </w:r>
                  <w:proofErr w:type="gramEnd"/>
                  <w:r w:rsidRPr="00A53994">
                    <w:rPr>
                      <w:rFonts w:ascii="Calibri" w:eastAsia="Times New Roman" w:hAnsi="Calibri" w:cs="Arial"/>
                      <w:i/>
                      <w:szCs w:val="18"/>
                      <w:lang w:eastAsia="tr-TR"/>
                    </w:rPr>
                    <w:t>)</w:t>
                  </w:r>
                </w:p>
                <w:p w:rsidR="00A53994" w:rsidRPr="00A53994" w:rsidRDefault="00A53994" w:rsidP="002F57A7">
                  <w:pPr>
                    <w:spacing w:after="0" w:line="253" w:lineRule="atLeast"/>
                    <w:jc w:val="both"/>
                    <w:rPr>
                      <w:rFonts w:ascii="Calibri" w:eastAsia="Times New Roman" w:hAnsi="Calibri" w:cs="Arial"/>
                      <w:i/>
                      <w:sz w:val="28"/>
                      <w:lang w:eastAsia="tr-TR"/>
                    </w:rPr>
                  </w:pPr>
                  <w:r w:rsidRPr="00A53994">
                    <w:rPr>
                      <w:rFonts w:ascii="Times New Roman" w:eastAsia="Times New Roman" w:hAnsi="Times New Roman" w:cs="Times New Roman"/>
                      <w:i/>
                      <w:szCs w:val="18"/>
                      <w:lang w:eastAsia="tr-TR"/>
                    </w:rPr>
                    <w:t xml:space="preserve">Maliye Bakanlığı (2018) </w:t>
                  </w:r>
                  <w:proofErr w:type="gramStart"/>
                  <w:r w:rsidRPr="00A53994">
                    <w:rPr>
                      <w:rFonts w:ascii="Times New Roman" w:eastAsia="Times New Roman" w:hAnsi="Times New Roman" w:cs="Times New Roman"/>
                      <w:i/>
                      <w:szCs w:val="18"/>
                      <w:lang w:eastAsia="tr-TR"/>
                    </w:rPr>
                    <w:t>“ 2017</w:t>
                  </w:r>
                  <w:proofErr w:type="gramEnd"/>
                  <w:r w:rsidRPr="00A53994">
                    <w:rPr>
                      <w:rFonts w:ascii="Times New Roman" w:eastAsia="Times New Roman" w:hAnsi="Times New Roman" w:cs="Times New Roman"/>
                      <w:i/>
                      <w:szCs w:val="18"/>
                      <w:lang w:eastAsia="tr-TR"/>
                    </w:rPr>
                    <w:t>  Yılı Genel Yönetim Faaliyet Raporu”</w:t>
                  </w:r>
                </w:p>
                <w:p w:rsidR="00A53994" w:rsidRPr="00A53994" w:rsidRDefault="00A53994" w:rsidP="00A53994">
                  <w:pPr>
                    <w:spacing w:after="0" w:line="253" w:lineRule="atLeast"/>
                    <w:jc w:val="both"/>
                    <w:rPr>
                      <w:rFonts w:ascii="Calibri" w:eastAsia="Times New Roman" w:hAnsi="Calibri" w:cs="Arial"/>
                      <w:i/>
                      <w:sz w:val="28"/>
                      <w:lang w:eastAsia="tr-TR"/>
                    </w:rPr>
                  </w:pPr>
                  <w:hyperlink r:id="rId9" w:tgtFrame="_blank" w:history="1">
                    <w:r w:rsidRPr="00A53994">
                      <w:rPr>
                        <w:rFonts w:ascii="Times New Roman" w:eastAsia="Times New Roman" w:hAnsi="Times New Roman" w:cs="Times New Roman"/>
                        <w:i/>
                        <w:color w:val="0000FF"/>
                        <w:szCs w:val="18"/>
                        <w:u w:val="single"/>
                        <w:lang w:eastAsia="tr-TR"/>
                      </w:rPr>
                      <w:t>http://www.bumko.gov.tr/TR,913/genel-faaliyet-raporlari.html</w:t>
                    </w:r>
                  </w:hyperlink>
                  <w:r w:rsidRPr="00A53994">
                    <w:rPr>
                      <w:rFonts w:ascii="Times New Roman" w:eastAsia="Times New Roman" w:hAnsi="Times New Roman" w:cs="Times New Roman"/>
                      <w:i/>
                      <w:szCs w:val="18"/>
                      <w:lang w:eastAsia="tr-TR"/>
                    </w:rPr>
                    <w:t>  (11.11.2018)</w:t>
                  </w:r>
                </w:p>
                <w:p w:rsidR="002F57A7" w:rsidRPr="00F23F35" w:rsidRDefault="00A53994" w:rsidP="002F57A7">
                  <w:pPr>
                    <w:spacing w:after="0" w:line="253" w:lineRule="atLeast"/>
                    <w:jc w:val="both"/>
                    <w:rPr>
                      <w:rFonts w:ascii="Times New Roman" w:eastAsia="Times New Roman" w:hAnsi="Times New Roman" w:cs="Times New Roman"/>
                      <w:i/>
                      <w:szCs w:val="18"/>
                      <w:lang w:eastAsia="tr-TR"/>
                    </w:rPr>
                  </w:pPr>
                  <w:r w:rsidRPr="00A53994">
                    <w:rPr>
                      <w:rFonts w:ascii="Times New Roman" w:eastAsia="Times New Roman" w:hAnsi="Times New Roman" w:cs="Times New Roman"/>
                      <w:i/>
                      <w:szCs w:val="18"/>
                      <w:lang w:eastAsia="tr-TR"/>
                    </w:rPr>
                    <w:t>Maliye Bakanlığı, </w:t>
                  </w:r>
                  <w:hyperlink r:id="rId10" w:tgtFrame="_blank" w:history="1">
                    <w:r w:rsidRPr="00A53994">
                      <w:rPr>
                        <w:rFonts w:ascii="Times New Roman" w:eastAsia="Times New Roman" w:hAnsi="Times New Roman" w:cs="Times New Roman"/>
                        <w:i/>
                        <w:color w:val="0000FF"/>
                        <w:szCs w:val="18"/>
                        <w:u w:val="single"/>
                        <w:lang w:eastAsia="tr-TR"/>
                      </w:rPr>
                      <w:t>https://www.muhasebat.gov.tr/content/mali-analiz-raporlari</w:t>
                    </w:r>
                  </w:hyperlink>
                  <w:r w:rsidRPr="00A53994">
                    <w:rPr>
                      <w:rFonts w:ascii="Times New Roman" w:eastAsia="Times New Roman" w:hAnsi="Times New Roman" w:cs="Times New Roman"/>
                      <w:i/>
                      <w:szCs w:val="18"/>
                      <w:lang w:eastAsia="tr-TR"/>
                    </w:rPr>
                    <w:t> (11.11.2018)</w:t>
                  </w:r>
                </w:p>
                <w:p w:rsidR="00A53994" w:rsidRPr="00A53994" w:rsidRDefault="00A53994" w:rsidP="002F57A7">
                  <w:pPr>
                    <w:spacing w:after="0" w:line="253" w:lineRule="atLeast"/>
                    <w:rPr>
                      <w:rFonts w:ascii="Arial" w:eastAsia="Times New Roman" w:hAnsi="Arial" w:cs="Arial"/>
                      <w:sz w:val="20"/>
                      <w:szCs w:val="20"/>
                      <w:lang w:eastAsia="tr-TR"/>
                    </w:rPr>
                  </w:pPr>
                  <w:r w:rsidRPr="00A53994">
                    <w:rPr>
                      <w:rFonts w:ascii="Times New Roman" w:eastAsia="Times New Roman" w:hAnsi="Times New Roman" w:cs="Times New Roman"/>
                      <w:i/>
                      <w:szCs w:val="18"/>
                      <w:lang w:eastAsia="tr-TR"/>
                    </w:rPr>
                    <w:t>Sayıştay,  (2018) , “2017 Yılı Faaliyet Genel Değerlendirme Raporu”, </w:t>
                  </w:r>
                  <w:hyperlink r:id="rId11" w:tgtFrame="_blank" w:history="1">
                    <w:r w:rsidRPr="00A53994">
                      <w:rPr>
                        <w:rFonts w:ascii="Arial" w:eastAsia="Times New Roman" w:hAnsi="Arial" w:cs="Arial"/>
                        <w:i/>
                        <w:color w:val="1155CC"/>
                        <w:szCs w:val="18"/>
                        <w:u w:val="single"/>
                        <w:lang w:eastAsia="tr-TR"/>
                      </w:rPr>
                      <w:t>https://www.sayistay.gov.tr/tr/Upload/62643830/files/raporlar/genel_raporlar/faaliyet/2017_Faaliyet.pdf</w:t>
                    </w:r>
                  </w:hyperlink>
                  <w:r w:rsidRPr="00A53994">
                    <w:rPr>
                      <w:rFonts w:ascii="Times New Roman" w:eastAsia="Times New Roman" w:hAnsi="Times New Roman" w:cs="Times New Roman"/>
                      <w:i/>
                      <w:szCs w:val="18"/>
                      <w:lang w:eastAsia="tr-TR"/>
                    </w:rPr>
                    <w:t>   (11.11.2018)</w:t>
                  </w:r>
                  <w:r w:rsidR="002F57A7" w:rsidRPr="00F23F35">
                    <w:rPr>
                      <w:rFonts w:ascii="Times New Roman" w:eastAsia="Times New Roman" w:hAnsi="Times New Roman" w:cs="Times New Roman"/>
                      <w:i/>
                      <w:szCs w:val="18"/>
                      <w:lang w:eastAsia="tr-TR"/>
                    </w:rPr>
                    <w:br/>
                  </w:r>
                  <w:r w:rsidRPr="00A53994">
                    <w:rPr>
                      <w:rFonts w:ascii="Times New Roman" w:eastAsia="Times New Roman" w:hAnsi="Times New Roman" w:cs="Times New Roman"/>
                      <w:i/>
                      <w:szCs w:val="18"/>
                      <w:lang w:eastAsia="tr-TR"/>
                    </w:rPr>
                    <w:t>Sayıştay, (2018), “ 2017 Yılı Dış Denetim Genel Değerlendirme Raporu”,</w:t>
                  </w:r>
                  <w:r w:rsidR="002F57A7" w:rsidRPr="00F23F35">
                    <w:rPr>
                      <w:rFonts w:ascii="Times New Roman" w:eastAsia="Times New Roman" w:hAnsi="Times New Roman" w:cs="Times New Roman"/>
                      <w:i/>
                      <w:szCs w:val="18"/>
                      <w:lang w:eastAsia="tr-TR"/>
                    </w:rPr>
                    <w:br/>
                  </w:r>
                  <w:hyperlink r:id="rId12" w:history="1">
                    <w:r w:rsidR="002F57A7" w:rsidRPr="00A53994">
                      <w:rPr>
                        <w:rStyle w:val="Kpr"/>
                        <w:rFonts w:ascii="Times New Roman" w:eastAsia="Times New Roman" w:hAnsi="Times New Roman" w:cs="Times New Roman"/>
                        <w:i/>
                        <w:szCs w:val="18"/>
                        <w:lang w:eastAsia="tr-TR"/>
                      </w:rPr>
                      <w:t>https://www.sayistay.gov.tr/tr/Upload/62643830/files/raporlar/genel_raporlar/dis_denetim/2017_Dis_Denetim.pdf</w:t>
                    </w:r>
                  </w:hyperlink>
                  <w:r w:rsidRPr="00A53994">
                    <w:rPr>
                      <w:rFonts w:ascii="Times New Roman" w:eastAsia="Times New Roman" w:hAnsi="Times New Roman" w:cs="Times New Roman"/>
                      <w:i/>
                      <w:szCs w:val="18"/>
                      <w:lang w:eastAsia="tr-TR"/>
                    </w:rPr>
                    <w:t> (11.11.2018)</w:t>
                  </w:r>
                  <w:r w:rsidR="002F57A7" w:rsidRPr="00F23F35">
                    <w:rPr>
                      <w:rFonts w:ascii="Times New Roman" w:eastAsia="Times New Roman" w:hAnsi="Times New Roman" w:cs="Times New Roman"/>
                      <w:i/>
                      <w:szCs w:val="18"/>
                      <w:lang w:eastAsia="tr-TR"/>
                    </w:rPr>
                    <w:br/>
                  </w:r>
                  <w:r w:rsidRPr="00A53994">
                    <w:rPr>
                      <w:rFonts w:ascii="Times New Roman" w:eastAsia="Times New Roman" w:hAnsi="Times New Roman" w:cs="Times New Roman"/>
                      <w:i/>
                      <w:szCs w:val="18"/>
                      <w:lang w:eastAsia="tr-TR"/>
                    </w:rPr>
                    <w:t>Sayıştay, (2018), “ 2017 Yılı Mali İstatistikleri Değerlendirme Raporu”, </w:t>
                  </w:r>
                  <w:r w:rsidR="002F57A7" w:rsidRPr="00F23F35">
                    <w:rPr>
                      <w:rFonts w:ascii="Times New Roman" w:eastAsia="Times New Roman" w:hAnsi="Times New Roman" w:cs="Times New Roman"/>
                      <w:i/>
                      <w:szCs w:val="18"/>
                      <w:lang w:eastAsia="tr-TR"/>
                    </w:rPr>
                    <w:br/>
                  </w:r>
                  <w:hyperlink r:id="rId13" w:history="1">
                    <w:r w:rsidR="002F57A7" w:rsidRPr="00A53994">
                      <w:rPr>
                        <w:rStyle w:val="Kpr"/>
                        <w:rFonts w:ascii="Times New Roman" w:eastAsia="Times New Roman" w:hAnsi="Times New Roman" w:cs="Times New Roman"/>
                        <w:i/>
                        <w:szCs w:val="18"/>
                        <w:lang w:eastAsia="tr-TR"/>
                      </w:rPr>
                      <w:t>https://www.sayistay.gov.tr/tr/Upload/62643830/files/raporlar/genel_raporlar/mali_istatistik/2017_Mali.pdf.pdf</w:t>
                    </w:r>
                  </w:hyperlink>
                  <w:r w:rsidRPr="00A53994">
                    <w:rPr>
                      <w:rFonts w:ascii="Times New Roman" w:eastAsia="Times New Roman" w:hAnsi="Times New Roman" w:cs="Times New Roman"/>
                      <w:i/>
                      <w:szCs w:val="18"/>
                      <w:lang w:eastAsia="tr-TR"/>
                    </w:rPr>
                    <w:t> (11.11.2018)</w:t>
                  </w:r>
                </w:p>
              </w:tc>
            </w:tr>
          </w:tbl>
          <w:p w:rsidR="00A53994" w:rsidRPr="00A53994" w:rsidRDefault="00A53994" w:rsidP="00A53994">
            <w:pPr>
              <w:spacing w:after="0" w:line="240" w:lineRule="auto"/>
              <w:rPr>
                <w:rFonts w:ascii="Arial" w:eastAsia="Times New Roman" w:hAnsi="Arial" w:cs="Arial"/>
                <w:sz w:val="20"/>
                <w:szCs w:val="20"/>
                <w:lang w:eastAsia="tr-TR"/>
              </w:rPr>
            </w:pPr>
          </w:p>
        </w:tc>
      </w:tr>
    </w:tbl>
    <w:p w:rsidR="00D81915" w:rsidRDefault="00D81915"/>
    <w:sectPr w:rsidR="00D81915" w:rsidSect="00995EE9">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6A4" w:rsidRDefault="007956A4" w:rsidP="002F57A7">
      <w:pPr>
        <w:spacing w:after="0" w:line="240" w:lineRule="auto"/>
      </w:pPr>
      <w:r>
        <w:separator/>
      </w:r>
    </w:p>
  </w:endnote>
  <w:endnote w:type="continuationSeparator" w:id="0">
    <w:p w:rsidR="007956A4" w:rsidRDefault="007956A4" w:rsidP="002F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87398"/>
      <w:docPartObj>
        <w:docPartGallery w:val="Page Numbers (Bottom of Page)"/>
        <w:docPartUnique/>
      </w:docPartObj>
    </w:sdtPr>
    <w:sdtContent>
      <w:p w:rsidR="002F57A7" w:rsidRDefault="002F57A7">
        <w:pPr>
          <w:pStyle w:val="AltBilgi"/>
          <w:jc w:val="right"/>
        </w:pPr>
        <w:r>
          <w:fldChar w:fldCharType="begin"/>
        </w:r>
        <w:r>
          <w:instrText>PAGE   \* MERGEFORMAT</w:instrText>
        </w:r>
        <w:r>
          <w:fldChar w:fldCharType="separate"/>
        </w:r>
        <w:r>
          <w:t>2</w:t>
        </w:r>
        <w:r>
          <w:fldChar w:fldCharType="end"/>
        </w:r>
      </w:p>
    </w:sdtContent>
  </w:sdt>
  <w:p w:rsidR="002F57A7" w:rsidRDefault="002F57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6A4" w:rsidRDefault="007956A4" w:rsidP="002F57A7">
      <w:pPr>
        <w:spacing w:after="0" w:line="240" w:lineRule="auto"/>
      </w:pPr>
      <w:r>
        <w:separator/>
      </w:r>
    </w:p>
  </w:footnote>
  <w:footnote w:type="continuationSeparator" w:id="0">
    <w:p w:rsidR="007956A4" w:rsidRDefault="007956A4" w:rsidP="002F57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94"/>
    <w:rsid w:val="002F57A7"/>
    <w:rsid w:val="004E33CB"/>
    <w:rsid w:val="005B232C"/>
    <w:rsid w:val="005B5B5C"/>
    <w:rsid w:val="006A1270"/>
    <w:rsid w:val="007956A4"/>
    <w:rsid w:val="008865FA"/>
    <w:rsid w:val="00995EE9"/>
    <w:rsid w:val="00A53994"/>
    <w:rsid w:val="00D81915"/>
    <w:rsid w:val="00F23F35"/>
    <w:rsid w:val="00F44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9EDC"/>
  <w15:chartTrackingRefBased/>
  <w15:docId w15:val="{06A0C285-61B3-49EA-8ACD-A3185E01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39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53994"/>
    <w:rPr>
      <w:color w:val="0000FF"/>
      <w:u w:val="single"/>
    </w:rPr>
  </w:style>
  <w:style w:type="character" w:styleId="zmlenmeyenBahsetme">
    <w:name w:val="Unresolved Mention"/>
    <w:basedOn w:val="VarsaylanParagrafYazTipi"/>
    <w:uiPriority w:val="99"/>
    <w:semiHidden/>
    <w:unhideWhenUsed/>
    <w:rsid w:val="002F57A7"/>
    <w:rPr>
      <w:color w:val="605E5C"/>
      <w:shd w:val="clear" w:color="auto" w:fill="E1DFDD"/>
    </w:rPr>
  </w:style>
  <w:style w:type="paragraph" w:styleId="stBilgi">
    <w:name w:val="header"/>
    <w:basedOn w:val="Normal"/>
    <w:link w:val="stBilgiChar"/>
    <w:uiPriority w:val="99"/>
    <w:unhideWhenUsed/>
    <w:rsid w:val="002F57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57A7"/>
  </w:style>
  <w:style w:type="paragraph" w:styleId="AltBilgi">
    <w:name w:val="footer"/>
    <w:basedOn w:val="Normal"/>
    <w:link w:val="AltBilgiChar"/>
    <w:uiPriority w:val="99"/>
    <w:unhideWhenUsed/>
    <w:rsid w:val="002F57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5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202251">
      <w:bodyDiv w:val="1"/>
      <w:marLeft w:val="0"/>
      <w:marRight w:val="0"/>
      <w:marTop w:val="0"/>
      <w:marBottom w:val="0"/>
      <w:divBdr>
        <w:top w:val="none" w:sz="0" w:space="0" w:color="auto"/>
        <w:left w:val="none" w:sz="0" w:space="0" w:color="auto"/>
        <w:bottom w:val="none" w:sz="0" w:space="0" w:color="auto"/>
        <w:right w:val="none" w:sz="0" w:space="0" w:color="auto"/>
      </w:divBdr>
      <w:divsChild>
        <w:div w:id="1132943139">
          <w:marLeft w:val="0"/>
          <w:marRight w:val="0"/>
          <w:marTop w:val="0"/>
          <w:marBottom w:val="0"/>
          <w:divBdr>
            <w:top w:val="none" w:sz="0" w:space="0" w:color="auto"/>
            <w:left w:val="none" w:sz="0" w:space="0" w:color="auto"/>
            <w:bottom w:val="none" w:sz="0" w:space="0" w:color="auto"/>
            <w:right w:val="none" w:sz="0" w:space="0" w:color="auto"/>
          </w:divBdr>
          <w:divsChild>
            <w:div w:id="1724478217">
              <w:marLeft w:val="0"/>
              <w:marRight w:val="0"/>
              <w:marTop w:val="0"/>
              <w:marBottom w:val="0"/>
              <w:divBdr>
                <w:top w:val="none" w:sz="0" w:space="0" w:color="auto"/>
                <w:left w:val="none" w:sz="0" w:space="0" w:color="auto"/>
                <w:bottom w:val="none" w:sz="0" w:space="0" w:color="auto"/>
                <w:right w:val="none" w:sz="0" w:space="0" w:color="auto"/>
              </w:divBdr>
            </w:div>
            <w:div w:id="382144654">
              <w:marLeft w:val="0"/>
              <w:marRight w:val="0"/>
              <w:marTop w:val="0"/>
              <w:marBottom w:val="0"/>
              <w:divBdr>
                <w:top w:val="none" w:sz="0" w:space="0" w:color="auto"/>
                <w:left w:val="none" w:sz="0" w:space="0" w:color="auto"/>
                <w:bottom w:val="none" w:sz="0" w:space="0" w:color="auto"/>
                <w:right w:val="none" w:sz="0" w:space="0" w:color="auto"/>
              </w:divBdr>
              <w:divsChild>
                <w:div w:id="1950432761">
                  <w:marLeft w:val="0"/>
                  <w:marRight w:val="0"/>
                  <w:marTop w:val="0"/>
                  <w:marBottom w:val="0"/>
                  <w:divBdr>
                    <w:top w:val="none" w:sz="0" w:space="0" w:color="auto"/>
                    <w:left w:val="none" w:sz="0" w:space="0" w:color="auto"/>
                    <w:bottom w:val="none" w:sz="0" w:space="0" w:color="auto"/>
                    <w:right w:val="none" w:sz="0" w:space="0" w:color="auto"/>
                  </w:divBdr>
                  <w:divsChild>
                    <w:div w:id="1023359610">
                      <w:marLeft w:val="0"/>
                      <w:marRight w:val="0"/>
                      <w:marTop w:val="0"/>
                      <w:marBottom w:val="0"/>
                      <w:divBdr>
                        <w:top w:val="none" w:sz="0" w:space="0" w:color="auto"/>
                        <w:left w:val="none" w:sz="0" w:space="0" w:color="auto"/>
                        <w:bottom w:val="none" w:sz="0" w:space="0" w:color="auto"/>
                        <w:right w:val="none" w:sz="0" w:space="0" w:color="auto"/>
                      </w:divBdr>
                      <w:divsChild>
                        <w:div w:id="1287814536">
                          <w:marLeft w:val="0"/>
                          <w:marRight w:val="0"/>
                          <w:marTop w:val="0"/>
                          <w:marBottom w:val="0"/>
                          <w:divBdr>
                            <w:top w:val="none" w:sz="0" w:space="0" w:color="auto"/>
                            <w:left w:val="none" w:sz="0" w:space="0" w:color="auto"/>
                            <w:bottom w:val="none" w:sz="0" w:space="0" w:color="auto"/>
                            <w:right w:val="none" w:sz="0" w:space="0" w:color="auto"/>
                          </w:divBdr>
                        </w:div>
                        <w:div w:id="1650860860">
                          <w:marLeft w:val="0"/>
                          <w:marRight w:val="0"/>
                          <w:marTop w:val="0"/>
                          <w:marBottom w:val="0"/>
                          <w:divBdr>
                            <w:top w:val="none" w:sz="0" w:space="0" w:color="auto"/>
                            <w:left w:val="none" w:sz="0" w:space="0" w:color="auto"/>
                            <w:bottom w:val="none" w:sz="0" w:space="0" w:color="auto"/>
                            <w:right w:val="none" w:sz="0" w:space="0" w:color="auto"/>
                          </w:divBdr>
                          <w:divsChild>
                            <w:div w:id="276302945">
                              <w:marLeft w:val="0"/>
                              <w:marRight w:val="0"/>
                              <w:marTop w:val="0"/>
                              <w:marBottom w:val="0"/>
                              <w:divBdr>
                                <w:top w:val="none" w:sz="0" w:space="0" w:color="auto"/>
                                <w:left w:val="none" w:sz="0" w:space="0" w:color="auto"/>
                                <w:bottom w:val="none" w:sz="0" w:space="0" w:color="auto"/>
                                <w:right w:val="none" w:sz="0" w:space="0" w:color="auto"/>
                              </w:divBdr>
                              <w:divsChild>
                                <w:div w:id="866066401">
                                  <w:marLeft w:val="0"/>
                                  <w:marRight w:val="0"/>
                                  <w:marTop w:val="0"/>
                                  <w:marBottom w:val="0"/>
                                  <w:divBdr>
                                    <w:top w:val="none" w:sz="0" w:space="0" w:color="auto"/>
                                    <w:left w:val="none" w:sz="0" w:space="0" w:color="auto"/>
                                    <w:bottom w:val="none" w:sz="0" w:space="0" w:color="auto"/>
                                    <w:right w:val="none" w:sz="0" w:space="0" w:color="auto"/>
                                  </w:divBdr>
                                  <w:divsChild>
                                    <w:div w:id="2024672011">
                                      <w:marLeft w:val="0"/>
                                      <w:marRight w:val="0"/>
                                      <w:marTop w:val="0"/>
                                      <w:marBottom w:val="0"/>
                                      <w:divBdr>
                                        <w:top w:val="none" w:sz="0" w:space="0" w:color="auto"/>
                                        <w:left w:val="none" w:sz="0" w:space="0" w:color="auto"/>
                                        <w:bottom w:val="none" w:sz="0" w:space="0" w:color="auto"/>
                                        <w:right w:val="none" w:sz="0" w:space="0" w:color="auto"/>
                                      </w:divBdr>
                                      <w:divsChild>
                                        <w:div w:id="1392729755">
                                          <w:marLeft w:val="0"/>
                                          <w:marRight w:val="0"/>
                                          <w:marTop w:val="0"/>
                                          <w:marBottom w:val="0"/>
                                          <w:divBdr>
                                            <w:top w:val="none" w:sz="0" w:space="0" w:color="auto"/>
                                            <w:left w:val="none" w:sz="0" w:space="0" w:color="auto"/>
                                            <w:bottom w:val="none" w:sz="0" w:space="0" w:color="auto"/>
                                            <w:right w:val="none" w:sz="0" w:space="0" w:color="auto"/>
                                          </w:divBdr>
                                          <w:divsChild>
                                            <w:div w:id="593630141">
                                              <w:marLeft w:val="0"/>
                                              <w:marRight w:val="0"/>
                                              <w:marTop w:val="0"/>
                                              <w:marBottom w:val="0"/>
                                              <w:divBdr>
                                                <w:top w:val="none" w:sz="0" w:space="0" w:color="auto"/>
                                                <w:left w:val="none" w:sz="0" w:space="0" w:color="auto"/>
                                                <w:bottom w:val="none" w:sz="0" w:space="0" w:color="auto"/>
                                                <w:right w:val="none" w:sz="0" w:space="0" w:color="auto"/>
                                              </w:divBdr>
                                              <w:divsChild>
                                                <w:div w:id="72746832">
                                                  <w:marLeft w:val="0"/>
                                                  <w:marRight w:val="0"/>
                                                  <w:marTop w:val="0"/>
                                                  <w:marBottom w:val="0"/>
                                                  <w:divBdr>
                                                    <w:top w:val="none" w:sz="0" w:space="0" w:color="auto"/>
                                                    <w:left w:val="none" w:sz="0" w:space="0" w:color="auto"/>
                                                    <w:bottom w:val="none" w:sz="0" w:space="0" w:color="auto"/>
                                                    <w:right w:val="none" w:sz="0" w:space="0" w:color="auto"/>
                                                  </w:divBdr>
                                                </w:div>
                                                <w:div w:id="12429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mko.gov.tr/Eklenti/10849,2018yilibutce-gerekcesipdf" TargetMode="External"/><Relationship Id="rId13" Type="http://schemas.openxmlformats.org/officeDocument/2006/relationships/hyperlink" Target="https://www.sayistay.gov.tr/tr/Upload/62643830/files/raporlar/genel_raporlar/mali_istatistik/2017_Mali.pdf.pdf" TargetMode="External"/><Relationship Id="rId3" Type="http://schemas.openxmlformats.org/officeDocument/2006/relationships/webSettings" Target="webSettings.xml"/><Relationship Id="rId7" Type="http://schemas.openxmlformats.org/officeDocument/2006/relationships/hyperlink" Target="http://webdosya.csb.gov.tr/db/yerelyonetimler/icerikler/2017_m-_gnl_faal_rpr-20180904082437.pdf" TargetMode="External"/><Relationship Id="rId12" Type="http://schemas.openxmlformats.org/officeDocument/2006/relationships/hyperlink" Target="https://www.sayistay.gov.tr/tr/Upload/62643830/files/raporlar/genel_raporlar/dis_denetim/2017_Dis_Denetim.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hmutesen@gmail.com" TargetMode="External"/><Relationship Id="rId11" Type="http://schemas.openxmlformats.org/officeDocument/2006/relationships/hyperlink" Target="https://www.sayistay.gov.tr/tr/Upload/62643830/files/raporlar/genel_raporlar/faaliyet/2017_Faaliyet.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muhasebat.gov.tr/content/mali-analiz-raporlari" TargetMode="External"/><Relationship Id="rId4" Type="http://schemas.openxmlformats.org/officeDocument/2006/relationships/footnotes" Target="footnotes.xml"/><Relationship Id="rId9" Type="http://schemas.openxmlformats.org/officeDocument/2006/relationships/hyperlink" Target="http://www.bumko.gov.tr/TR,913/genel-faaliyet-raporlari.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4493</Words>
  <Characters>25614</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1</cp:revision>
  <dcterms:created xsi:type="dcterms:W3CDTF">2018-11-29T23:41:00Z</dcterms:created>
  <dcterms:modified xsi:type="dcterms:W3CDTF">2018-11-30T00:38:00Z</dcterms:modified>
</cp:coreProperties>
</file>